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85967" w14:textId="77777777" w:rsidR="00181E01" w:rsidRDefault="00181E01" w:rsidP="0053748E">
      <w:pPr>
        <w:jc w:val="center"/>
        <w:rPr>
          <w:spacing w:val="80"/>
          <w:sz w:val="28"/>
        </w:rPr>
      </w:pPr>
    </w:p>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67BD4DD1" w14:textId="77777777" w:rsidTr="00112334">
        <w:trPr>
          <w:cantSplit/>
          <w:trHeight w:hRule="exact" w:val="1872"/>
          <w:jc w:val="right"/>
        </w:trPr>
        <w:tc>
          <w:tcPr>
            <w:tcW w:w="9000" w:type="dxa"/>
            <w:shd w:val="clear" w:color="auto" w:fill="8DC63F"/>
            <w:vAlign w:val="center"/>
          </w:tcPr>
          <w:p w14:paraId="3EF67A49" w14:textId="358D7654" w:rsidR="00BD221D" w:rsidRPr="00112334" w:rsidRDefault="007A2435" w:rsidP="00BD221D">
            <w:pPr>
              <w:pStyle w:val="eTRMHeading1"/>
              <w:jc w:val="center"/>
              <w:rPr>
                <w:sz w:val="28"/>
              </w:rPr>
            </w:pPr>
            <w:r w:rsidRPr="00112334">
              <w:rPr>
                <w:sz w:val="28"/>
              </w:rPr>
              <w:t>Appliance &amp; Plug load</w:t>
            </w:r>
            <w:r w:rsidR="00112334" w:rsidRPr="00112334">
              <w:rPr>
                <w:sz w:val="28"/>
              </w:rPr>
              <w:t>s</w:t>
            </w:r>
          </w:p>
          <w:p w14:paraId="61C94AB0" w14:textId="77777777" w:rsidR="00BD221D" w:rsidRPr="00112334" w:rsidRDefault="007A2435" w:rsidP="00112334">
            <w:pPr>
              <w:pStyle w:val="eTRMHeading2"/>
            </w:pPr>
            <w:r w:rsidRPr="00112334">
              <w:t>Vending and Beverage Merchandise Controller</w:t>
            </w:r>
          </w:p>
          <w:p w14:paraId="10BE1877" w14:textId="621009A8" w:rsidR="00112334" w:rsidRPr="00112334" w:rsidRDefault="00112334" w:rsidP="00112334">
            <w:pPr>
              <w:pStyle w:val="eTRMHeading2"/>
              <w:rPr>
                <w:spacing w:val="0"/>
              </w:rPr>
            </w:pPr>
            <w:r w:rsidRPr="00112334">
              <w:rPr>
                <w:spacing w:val="0"/>
                <w:sz w:val="28"/>
              </w:rPr>
              <w:t>SWAP011-</w:t>
            </w:r>
            <w:r w:rsidR="0086505E" w:rsidRPr="00112334">
              <w:rPr>
                <w:spacing w:val="0"/>
                <w:sz w:val="28"/>
              </w:rPr>
              <w:t>0</w:t>
            </w:r>
            <w:r w:rsidR="0086505E">
              <w:rPr>
                <w:spacing w:val="0"/>
                <w:sz w:val="28"/>
              </w:rPr>
              <w:t>2</w:t>
            </w:r>
          </w:p>
        </w:tc>
      </w:tr>
    </w:tbl>
    <w:p w14:paraId="645F3ACB" w14:textId="77777777" w:rsidR="00BD221D" w:rsidRDefault="00BD221D" w:rsidP="00BD221D"/>
    <w:p w14:paraId="31745A8D" w14:textId="45DC1270" w:rsidR="00D12B8C" w:rsidRPr="00E14349" w:rsidRDefault="007E1F66" w:rsidP="0053748E">
      <w:pPr>
        <w:jc w:val="center"/>
        <w:rPr>
          <w:spacing w:val="80"/>
          <w:sz w:val="28"/>
        </w:rPr>
      </w:pPr>
      <w:r w:rsidRPr="00E14349">
        <w:rPr>
          <w:spacing w:val="80"/>
          <w:sz w:val="28"/>
        </w:rPr>
        <w:t>CONTENTS</w:t>
      </w:r>
    </w:p>
    <w:p w14:paraId="5FA1709D" w14:textId="723C597E" w:rsidR="008E1071" w:rsidRDefault="001C6C9B">
      <w:pPr>
        <w:pStyle w:val="TOC3"/>
        <w:rPr>
          <w:rFonts w:asciiTheme="minorHAnsi" w:hAnsiTheme="minorHAnsi" w:hint="eastAsia"/>
          <w:noProof/>
          <w:szCs w:val="22"/>
        </w:rPr>
      </w:pPr>
      <w:r>
        <w:fldChar w:fldCharType="begin"/>
      </w:r>
      <w:r>
        <w:instrText xml:space="preserve"> TOC \t "eTRM Heading 3,3" </w:instrText>
      </w:r>
      <w:r>
        <w:fldChar w:fldCharType="separate"/>
      </w:r>
      <w:r w:rsidR="008E1071">
        <w:rPr>
          <w:noProof/>
        </w:rPr>
        <w:t>Measure Name</w:t>
      </w:r>
      <w:r w:rsidR="008E1071">
        <w:rPr>
          <w:noProof/>
        </w:rPr>
        <w:tab/>
      </w:r>
      <w:r w:rsidR="008E1071">
        <w:rPr>
          <w:noProof/>
        </w:rPr>
        <w:fldChar w:fldCharType="begin"/>
      </w:r>
      <w:r w:rsidR="008E1071">
        <w:rPr>
          <w:noProof/>
        </w:rPr>
        <w:instrText xml:space="preserve"> PAGEREF _Toc529355963 \h </w:instrText>
      </w:r>
      <w:r w:rsidR="008E1071">
        <w:rPr>
          <w:noProof/>
        </w:rPr>
      </w:r>
      <w:r w:rsidR="008E1071">
        <w:rPr>
          <w:noProof/>
        </w:rPr>
        <w:fldChar w:fldCharType="separate"/>
      </w:r>
      <w:r w:rsidR="008E1071">
        <w:rPr>
          <w:noProof/>
        </w:rPr>
        <w:t>2</w:t>
      </w:r>
      <w:r w:rsidR="008E1071">
        <w:rPr>
          <w:noProof/>
        </w:rPr>
        <w:fldChar w:fldCharType="end"/>
      </w:r>
    </w:p>
    <w:p w14:paraId="4F6A1C0A" w14:textId="3C2CA91E" w:rsidR="008E1071" w:rsidRDefault="008E1071">
      <w:pPr>
        <w:pStyle w:val="TOC3"/>
        <w:rPr>
          <w:rFonts w:asciiTheme="minorHAnsi" w:hAnsiTheme="minorHAnsi" w:hint="eastAsia"/>
          <w:noProof/>
          <w:szCs w:val="22"/>
        </w:rPr>
      </w:pPr>
      <w:r>
        <w:rPr>
          <w:noProof/>
        </w:rPr>
        <w:t>Statewide Measure ID</w:t>
      </w:r>
      <w:r>
        <w:rPr>
          <w:noProof/>
        </w:rPr>
        <w:tab/>
      </w:r>
      <w:r>
        <w:rPr>
          <w:noProof/>
        </w:rPr>
        <w:fldChar w:fldCharType="begin"/>
      </w:r>
      <w:r>
        <w:rPr>
          <w:noProof/>
        </w:rPr>
        <w:instrText xml:space="preserve"> PAGEREF _Toc529355964 \h </w:instrText>
      </w:r>
      <w:r>
        <w:rPr>
          <w:noProof/>
        </w:rPr>
      </w:r>
      <w:r>
        <w:rPr>
          <w:noProof/>
        </w:rPr>
        <w:fldChar w:fldCharType="separate"/>
      </w:r>
      <w:r>
        <w:rPr>
          <w:noProof/>
        </w:rPr>
        <w:t>2</w:t>
      </w:r>
      <w:r>
        <w:rPr>
          <w:noProof/>
        </w:rPr>
        <w:fldChar w:fldCharType="end"/>
      </w:r>
    </w:p>
    <w:p w14:paraId="34C27FC7" w14:textId="15C30AB2" w:rsidR="008E1071" w:rsidRDefault="008E1071">
      <w:pPr>
        <w:pStyle w:val="TOC3"/>
        <w:rPr>
          <w:rFonts w:asciiTheme="minorHAnsi" w:hAnsiTheme="minorHAnsi" w:hint="eastAsia"/>
          <w:noProof/>
          <w:szCs w:val="22"/>
        </w:rPr>
      </w:pPr>
      <w:r>
        <w:rPr>
          <w:noProof/>
        </w:rPr>
        <w:t>Technology Summary</w:t>
      </w:r>
      <w:r>
        <w:rPr>
          <w:noProof/>
        </w:rPr>
        <w:tab/>
      </w:r>
      <w:r>
        <w:rPr>
          <w:noProof/>
        </w:rPr>
        <w:fldChar w:fldCharType="begin"/>
      </w:r>
      <w:r>
        <w:rPr>
          <w:noProof/>
        </w:rPr>
        <w:instrText xml:space="preserve"> PAGEREF _Toc529355965 \h </w:instrText>
      </w:r>
      <w:r>
        <w:rPr>
          <w:noProof/>
        </w:rPr>
      </w:r>
      <w:r>
        <w:rPr>
          <w:noProof/>
        </w:rPr>
        <w:fldChar w:fldCharType="separate"/>
      </w:r>
      <w:r>
        <w:rPr>
          <w:noProof/>
        </w:rPr>
        <w:t>2</w:t>
      </w:r>
      <w:r>
        <w:rPr>
          <w:noProof/>
        </w:rPr>
        <w:fldChar w:fldCharType="end"/>
      </w:r>
    </w:p>
    <w:p w14:paraId="24ACCE76" w14:textId="4C4BBB5D" w:rsidR="008E1071" w:rsidRDefault="008E1071">
      <w:pPr>
        <w:pStyle w:val="TOC3"/>
        <w:rPr>
          <w:rFonts w:asciiTheme="minorHAnsi" w:hAnsiTheme="minorHAnsi" w:hint="eastAsia"/>
          <w:noProof/>
          <w:szCs w:val="22"/>
        </w:rPr>
      </w:pPr>
      <w:r>
        <w:rPr>
          <w:noProof/>
        </w:rPr>
        <w:t>Measure Case Description</w:t>
      </w:r>
      <w:r>
        <w:rPr>
          <w:noProof/>
        </w:rPr>
        <w:tab/>
      </w:r>
      <w:r>
        <w:rPr>
          <w:noProof/>
        </w:rPr>
        <w:fldChar w:fldCharType="begin"/>
      </w:r>
      <w:r>
        <w:rPr>
          <w:noProof/>
        </w:rPr>
        <w:instrText xml:space="preserve"> PAGEREF _Toc529355966 \h </w:instrText>
      </w:r>
      <w:r>
        <w:rPr>
          <w:noProof/>
        </w:rPr>
      </w:r>
      <w:r>
        <w:rPr>
          <w:noProof/>
        </w:rPr>
        <w:fldChar w:fldCharType="separate"/>
      </w:r>
      <w:r>
        <w:rPr>
          <w:noProof/>
        </w:rPr>
        <w:t>2</w:t>
      </w:r>
      <w:r>
        <w:rPr>
          <w:noProof/>
        </w:rPr>
        <w:fldChar w:fldCharType="end"/>
      </w:r>
    </w:p>
    <w:p w14:paraId="14793E31" w14:textId="6A6809FE" w:rsidR="008E1071" w:rsidRDefault="008E1071">
      <w:pPr>
        <w:pStyle w:val="TOC3"/>
        <w:rPr>
          <w:rFonts w:asciiTheme="minorHAnsi" w:hAnsiTheme="minorHAnsi" w:hint="eastAsia"/>
          <w:noProof/>
          <w:szCs w:val="22"/>
        </w:rPr>
      </w:pPr>
      <w:r>
        <w:rPr>
          <w:noProof/>
        </w:rPr>
        <w:t>Base Case Description</w:t>
      </w:r>
      <w:r>
        <w:rPr>
          <w:noProof/>
        </w:rPr>
        <w:tab/>
      </w:r>
      <w:r>
        <w:rPr>
          <w:noProof/>
        </w:rPr>
        <w:fldChar w:fldCharType="begin"/>
      </w:r>
      <w:r>
        <w:rPr>
          <w:noProof/>
        </w:rPr>
        <w:instrText xml:space="preserve"> PAGEREF _Toc529355967 \h </w:instrText>
      </w:r>
      <w:r>
        <w:rPr>
          <w:noProof/>
        </w:rPr>
      </w:r>
      <w:r>
        <w:rPr>
          <w:noProof/>
        </w:rPr>
        <w:fldChar w:fldCharType="separate"/>
      </w:r>
      <w:r>
        <w:rPr>
          <w:noProof/>
        </w:rPr>
        <w:t>2</w:t>
      </w:r>
      <w:r>
        <w:rPr>
          <w:noProof/>
        </w:rPr>
        <w:fldChar w:fldCharType="end"/>
      </w:r>
    </w:p>
    <w:p w14:paraId="0A538F8F" w14:textId="55C24C07" w:rsidR="008E1071" w:rsidRDefault="008E1071">
      <w:pPr>
        <w:pStyle w:val="TOC3"/>
        <w:rPr>
          <w:rFonts w:asciiTheme="minorHAnsi" w:hAnsiTheme="minorHAnsi" w:hint="eastAsia"/>
          <w:noProof/>
          <w:szCs w:val="22"/>
        </w:rPr>
      </w:pPr>
      <w:r>
        <w:rPr>
          <w:noProof/>
        </w:rPr>
        <w:t>Code Requirements</w:t>
      </w:r>
      <w:r>
        <w:rPr>
          <w:noProof/>
        </w:rPr>
        <w:tab/>
      </w:r>
      <w:r>
        <w:rPr>
          <w:noProof/>
        </w:rPr>
        <w:fldChar w:fldCharType="begin"/>
      </w:r>
      <w:r>
        <w:rPr>
          <w:noProof/>
        </w:rPr>
        <w:instrText xml:space="preserve"> PAGEREF _Toc529355968 \h </w:instrText>
      </w:r>
      <w:r>
        <w:rPr>
          <w:noProof/>
        </w:rPr>
      </w:r>
      <w:r>
        <w:rPr>
          <w:noProof/>
        </w:rPr>
        <w:fldChar w:fldCharType="separate"/>
      </w:r>
      <w:r>
        <w:rPr>
          <w:noProof/>
        </w:rPr>
        <w:t>3</w:t>
      </w:r>
      <w:r>
        <w:rPr>
          <w:noProof/>
        </w:rPr>
        <w:fldChar w:fldCharType="end"/>
      </w:r>
    </w:p>
    <w:p w14:paraId="42B70571" w14:textId="1AE352A5" w:rsidR="008E1071" w:rsidRDefault="008E1071">
      <w:pPr>
        <w:pStyle w:val="TOC3"/>
        <w:rPr>
          <w:rFonts w:asciiTheme="minorHAnsi" w:hAnsiTheme="minorHAnsi" w:hint="eastAsia"/>
          <w:noProof/>
          <w:szCs w:val="22"/>
        </w:rPr>
      </w:pPr>
      <w:r>
        <w:rPr>
          <w:noProof/>
        </w:rPr>
        <w:t>Normalizing Unit</w:t>
      </w:r>
      <w:r>
        <w:rPr>
          <w:noProof/>
        </w:rPr>
        <w:tab/>
      </w:r>
      <w:r>
        <w:rPr>
          <w:noProof/>
        </w:rPr>
        <w:fldChar w:fldCharType="begin"/>
      </w:r>
      <w:r>
        <w:rPr>
          <w:noProof/>
        </w:rPr>
        <w:instrText xml:space="preserve"> PAGEREF _Toc529355969 \h </w:instrText>
      </w:r>
      <w:r>
        <w:rPr>
          <w:noProof/>
        </w:rPr>
      </w:r>
      <w:r>
        <w:rPr>
          <w:noProof/>
        </w:rPr>
        <w:fldChar w:fldCharType="separate"/>
      </w:r>
      <w:r>
        <w:rPr>
          <w:noProof/>
        </w:rPr>
        <w:t>3</w:t>
      </w:r>
      <w:r>
        <w:rPr>
          <w:noProof/>
        </w:rPr>
        <w:fldChar w:fldCharType="end"/>
      </w:r>
    </w:p>
    <w:p w14:paraId="02588524" w14:textId="2DC095C7" w:rsidR="008E1071" w:rsidRDefault="008E1071">
      <w:pPr>
        <w:pStyle w:val="TOC3"/>
        <w:rPr>
          <w:rFonts w:asciiTheme="minorHAnsi" w:hAnsiTheme="minorHAnsi" w:hint="eastAsia"/>
          <w:noProof/>
          <w:szCs w:val="22"/>
        </w:rPr>
      </w:pPr>
      <w:r>
        <w:rPr>
          <w:noProof/>
        </w:rPr>
        <w:t>Program Requirements</w:t>
      </w:r>
      <w:r>
        <w:rPr>
          <w:noProof/>
        </w:rPr>
        <w:tab/>
      </w:r>
      <w:r>
        <w:rPr>
          <w:noProof/>
        </w:rPr>
        <w:fldChar w:fldCharType="begin"/>
      </w:r>
      <w:r>
        <w:rPr>
          <w:noProof/>
        </w:rPr>
        <w:instrText xml:space="preserve"> PAGEREF _Toc529355970 \h </w:instrText>
      </w:r>
      <w:r>
        <w:rPr>
          <w:noProof/>
        </w:rPr>
      </w:r>
      <w:r>
        <w:rPr>
          <w:noProof/>
        </w:rPr>
        <w:fldChar w:fldCharType="separate"/>
      </w:r>
      <w:r>
        <w:rPr>
          <w:noProof/>
        </w:rPr>
        <w:t>3</w:t>
      </w:r>
      <w:r>
        <w:rPr>
          <w:noProof/>
        </w:rPr>
        <w:fldChar w:fldCharType="end"/>
      </w:r>
    </w:p>
    <w:p w14:paraId="18F85553" w14:textId="481C1BE3" w:rsidR="008E1071" w:rsidRDefault="008E1071">
      <w:pPr>
        <w:pStyle w:val="TOC3"/>
        <w:rPr>
          <w:rFonts w:asciiTheme="minorHAnsi" w:hAnsiTheme="minorHAnsi" w:hint="eastAsia"/>
          <w:noProof/>
          <w:szCs w:val="22"/>
        </w:rPr>
      </w:pPr>
      <w:r>
        <w:rPr>
          <w:noProof/>
        </w:rPr>
        <w:t>Program Exclusions</w:t>
      </w:r>
      <w:r>
        <w:rPr>
          <w:noProof/>
        </w:rPr>
        <w:tab/>
      </w:r>
      <w:r>
        <w:rPr>
          <w:noProof/>
        </w:rPr>
        <w:fldChar w:fldCharType="begin"/>
      </w:r>
      <w:r>
        <w:rPr>
          <w:noProof/>
        </w:rPr>
        <w:instrText xml:space="preserve"> PAGEREF _Toc529355971 \h </w:instrText>
      </w:r>
      <w:r>
        <w:rPr>
          <w:noProof/>
        </w:rPr>
      </w:r>
      <w:r>
        <w:rPr>
          <w:noProof/>
        </w:rPr>
        <w:fldChar w:fldCharType="separate"/>
      </w:r>
      <w:r>
        <w:rPr>
          <w:noProof/>
        </w:rPr>
        <w:t>5</w:t>
      </w:r>
      <w:r>
        <w:rPr>
          <w:noProof/>
        </w:rPr>
        <w:fldChar w:fldCharType="end"/>
      </w:r>
    </w:p>
    <w:p w14:paraId="09EE212F" w14:textId="7C3A6AB3" w:rsidR="008E1071" w:rsidRDefault="008E1071">
      <w:pPr>
        <w:pStyle w:val="TOC3"/>
        <w:rPr>
          <w:rFonts w:asciiTheme="minorHAnsi" w:hAnsiTheme="minorHAnsi" w:hint="eastAsia"/>
          <w:noProof/>
          <w:szCs w:val="22"/>
        </w:rPr>
      </w:pPr>
      <w:r>
        <w:rPr>
          <w:noProof/>
        </w:rPr>
        <w:t>Data Collection Requirements</w:t>
      </w:r>
      <w:r>
        <w:rPr>
          <w:noProof/>
        </w:rPr>
        <w:tab/>
      </w:r>
      <w:r>
        <w:rPr>
          <w:noProof/>
        </w:rPr>
        <w:fldChar w:fldCharType="begin"/>
      </w:r>
      <w:r>
        <w:rPr>
          <w:noProof/>
        </w:rPr>
        <w:instrText xml:space="preserve"> PAGEREF _Toc529355972 \h </w:instrText>
      </w:r>
      <w:r>
        <w:rPr>
          <w:noProof/>
        </w:rPr>
      </w:r>
      <w:r>
        <w:rPr>
          <w:noProof/>
        </w:rPr>
        <w:fldChar w:fldCharType="separate"/>
      </w:r>
      <w:r>
        <w:rPr>
          <w:noProof/>
        </w:rPr>
        <w:t>5</w:t>
      </w:r>
      <w:r>
        <w:rPr>
          <w:noProof/>
        </w:rPr>
        <w:fldChar w:fldCharType="end"/>
      </w:r>
    </w:p>
    <w:p w14:paraId="0F7BABE5" w14:textId="0283CFE0" w:rsidR="008E1071" w:rsidRDefault="008E1071">
      <w:pPr>
        <w:pStyle w:val="TOC3"/>
        <w:rPr>
          <w:rFonts w:asciiTheme="minorHAnsi" w:hAnsiTheme="minorHAnsi" w:hint="eastAsia"/>
          <w:noProof/>
          <w:szCs w:val="22"/>
        </w:rPr>
      </w:pPr>
      <w:r>
        <w:rPr>
          <w:noProof/>
        </w:rPr>
        <w:t>Use Category</w:t>
      </w:r>
      <w:r>
        <w:rPr>
          <w:noProof/>
        </w:rPr>
        <w:tab/>
      </w:r>
      <w:r>
        <w:rPr>
          <w:noProof/>
        </w:rPr>
        <w:fldChar w:fldCharType="begin"/>
      </w:r>
      <w:r>
        <w:rPr>
          <w:noProof/>
        </w:rPr>
        <w:instrText xml:space="preserve"> PAGEREF _Toc529355973 \h </w:instrText>
      </w:r>
      <w:r>
        <w:rPr>
          <w:noProof/>
        </w:rPr>
      </w:r>
      <w:r>
        <w:rPr>
          <w:noProof/>
        </w:rPr>
        <w:fldChar w:fldCharType="separate"/>
      </w:r>
      <w:r>
        <w:rPr>
          <w:noProof/>
        </w:rPr>
        <w:t>5</w:t>
      </w:r>
      <w:r>
        <w:rPr>
          <w:noProof/>
        </w:rPr>
        <w:fldChar w:fldCharType="end"/>
      </w:r>
    </w:p>
    <w:p w14:paraId="167E1CED" w14:textId="2612B711" w:rsidR="008E1071" w:rsidRDefault="008E1071">
      <w:pPr>
        <w:pStyle w:val="TOC3"/>
        <w:rPr>
          <w:rFonts w:asciiTheme="minorHAnsi" w:hAnsiTheme="minorHAnsi" w:hint="eastAsia"/>
          <w:noProof/>
          <w:szCs w:val="22"/>
        </w:rPr>
      </w:pPr>
      <w:r>
        <w:rPr>
          <w:noProof/>
        </w:rPr>
        <w:t>Electric Savings (</w:t>
      </w:r>
      <w:r w:rsidRPr="006B258D">
        <w:rPr>
          <w:noProof/>
        </w:rPr>
        <w:t>kWh</w:t>
      </w:r>
      <w:r>
        <w:rPr>
          <w:noProof/>
        </w:rPr>
        <w:t>)</w:t>
      </w:r>
      <w:r>
        <w:rPr>
          <w:noProof/>
        </w:rPr>
        <w:tab/>
      </w:r>
      <w:r>
        <w:rPr>
          <w:noProof/>
        </w:rPr>
        <w:fldChar w:fldCharType="begin"/>
      </w:r>
      <w:r>
        <w:rPr>
          <w:noProof/>
        </w:rPr>
        <w:instrText xml:space="preserve"> PAGEREF _Toc529355974 \h </w:instrText>
      </w:r>
      <w:r>
        <w:rPr>
          <w:noProof/>
        </w:rPr>
      </w:r>
      <w:r>
        <w:rPr>
          <w:noProof/>
        </w:rPr>
        <w:fldChar w:fldCharType="separate"/>
      </w:r>
      <w:r>
        <w:rPr>
          <w:noProof/>
        </w:rPr>
        <w:t>5</w:t>
      </w:r>
      <w:r>
        <w:rPr>
          <w:noProof/>
        </w:rPr>
        <w:fldChar w:fldCharType="end"/>
      </w:r>
    </w:p>
    <w:p w14:paraId="7F28746E" w14:textId="48FFB65A" w:rsidR="008E1071" w:rsidRDefault="008E1071">
      <w:pPr>
        <w:pStyle w:val="TOC3"/>
        <w:rPr>
          <w:rFonts w:asciiTheme="minorHAnsi" w:hAnsiTheme="minorHAnsi" w:hint="eastAsia"/>
          <w:noProof/>
          <w:szCs w:val="22"/>
        </w:rPr>
      </w:pPr>
      <w:r>
        <w:rPr>
          <w:noProof/>
        </w:rPr>
        <w:t>Peak Electric Demand Reduction (kW)</w:t>
      </w:r>
      <w:r>
        <w:rPr>
          <w:noProof/>
        </w:rPr>
        <w:tab/>
      </w:r>
      <w:r>
        <w:rPr>
          <w:noProof/>
        </w:rPr>
        <w:fldChar w:fldCharType="begin"/>
      </w:r>
      <w:r>
        <w:rPr>
          <w:noProof/>
        </w:rPr>
        <w:instrText xml:space="preserve"> PAGEREF _Toc529355975 \h </w:instrText>
      </w:r>
      <w:r>
        <w:rPr>
          <w:noProof/>
        </w:rPr>
      </w:r>
      <w:r>
        <w:rPr>
          <w:noProof/>
        </w:rPr>
        <w:fldChar w:fldCharType="separate"/>
      </w:r>
      <w:r>
        <w:rPr>
          <w:noProof/>
        </w:rPr>
        <w:t>8</w:t>
      </w:r>
      <w:r>
        <w:rPr>
          <w:noProof/>
        </w:rPr>
        <w:fldChar w:fldCharType="end"/>
      </w:r>
    </w:p>
    <w:p w14:paraId="4E0792FA" w14:textId="014EBD04" w:rsidR="008E1071" w:rsidRDefault="008E1071">
      <w:pPr>
        <w:pStyle w:val="TOC3"/>
        <w:rPr>
          <w:rFonts w:asciiTheme="minorHAnsi" w:hAnsiTheme="minorHAnsi" w:hint="eastAsia"/>
          <w:noProof/>
          <w:szCs w:val="22"/>
        </w:rPr>
      </w:pPr>
      <w:r>
        <w:rPr>
          <w:noProof/>
        </w:rPr>
        <w:t>Gas Savings (Therms)</w:t>
      </w:r>
      <w:r>
        <w:rPr>
          <w:noProof/>
        </w:rPr>
        <w:tab/>
      </w:r>
      <w:r>
        <w:rPr>
          <w:noProof/>
        </w:rPr>
        <w:fldChar w:fldCharType="begin"/>
      </w:r>
      <w:r>
        <w:rPr>
          <w:noProof/>
        </w:rPr>
        <w:instrText xml:space="preserve"> PAGEREF _Toc529355976 \h </w:instrText>
      </w:r>
      <w:r>
        <w:rPr>
          <w:noProof/>
        </w:rPr>
      </w:r>
      <w:r>
        <w:rPr>
          <w:noProof/>
        </w:rPr>
        <w:fldChar w:fldCharType="separate"/>
      </w:r>
      <w:r>
        <w:rPr>
          <w:noProof/>
        </w:rPr>
        <w:t>8</w:t>
      </w:r>
      <w:r>
        <w:rPr>
          <w:noProof/>
        </w:rPr>
        <w:fldChar w:fldCharType="end"/>
      </w:r>
    </w:p>
    <w:p w14:paraId="139E53C5" w14:textId="611D72F9" w:rsidR="008E1071" w:rsidRDefault="008E1071">
      <w:pPr>
        <w:pStyle w:val="TOC3"/>
        <w:rPr>
          <w:rFonts w:asciiTheme="minorHAnsi" w:hAnsiTheme="minorHAnsi" w:hint="eastAsia"/>
          <w:noProof/>
          <w:szCs w:val="22"/>
        </w:rPr>
      </w:pPr>
      <w:r>
        <w:rPr>
          <w:noProof/>
        </w:rPr>
        <w:t>Life Cycle</w:t>
      </w:r>
      <w:r>
        <w:rPr>
          <w:noProof/>
        </w:rPr>
        <w:tab/>
      </w:r>
      <w:r>
        <w:rPr>
          <w:noProof/>
        </w:rPr>
        <w:fldChar w:fldCharType="begin"/>
      </w:r>
      <w:r>
        <w:rPr>
          <w:noProof/>
        </w:rPr>
        <w:instrText xml:space="preserve"> PAGEREF _Toc529355977 \h </w:instrText>
      </w:r>
      <w:r>
        <w:rPr>
          <w:noProof/>
        </w:rPr>
      </w:r>
      <w:r>
        <w:rPr>
          <w:noProof/>
        </w:rPr>
        <w:fldChar w:fldCharType="separate"/>
      </w:r>
      <w:r>
        <w:rPr>
          <w:noProof/>
        </w:rPr>
        <w:t>8</w:t>
      </w:r>
      <w:r>
        <w:rPr>
          <w:noProof/>
        </w:rPr>
        <w:fldChar w:fldCharType="end"/>
      </w:r>
    </w:p>
    <w:p w14:paraId="3C0062F7" w14:textId="6120F90B" w:rsidR="008E1071" w:rsidRDefault="008E1071">
      <w:pPr>
        <w:pStyle w:val="TOC3"/>
        <w:rPr>
          <w:rFonts w:asciiTheme="minorHAnsi" w:hAnsiTheme="minorHAnsi" w:hint="eastAsia"/>
          <w:noProof/>
          <w:szCs w:val="22"/>
        </w:rPr>
      </w:pPr>
      <w:r>
        <w:rPr>
          <w:noProof/>
        </w:rPr>
        <w:t>Base Case Material Cost ($/unit)</w:t>
      </w:r>
      <w:r>
        <w:rPr>
          <w:noProof/>
        </w:rPr>
        <w:tab/>
      </w:r>
      <w:r>
        <w:rPr>
          <w:noProof/>
        </w:rPr>
        <w:fldChar w:fldCharType="begin"/>
      </w:r>
      <w:r>
        <w:rPr>
          <w:noProof/>
        </w:rPr>
        <w:instrText xml:space="preserve"> PAGEREF _Toc529355978 \h </w:instrText>
      </w:r>
      <w:r>
        <w:rPr>
          <w:noProof/>
        </w:rPr>
      </w:r>
      <w:r>
        <w:rPr>
          <w:noProof/>
        </w:rPr>
        <w:fldChar w:fldCharType="separate"/>
      </w:r>
      <w:r>
        <w:rPr>
          <w:noProof/>
        </w:rPr>
        <w:t>9</w:t>
      </w:r>
      <w:r>
        <w:rPr>
          <w:noProof/>
        </w:rPr>
        <w:fldChar w:fldCharType="end"/>
      </w:r>
    </w:p>
    <w:p w14:paraId="75E1729F" w14:textId="1108B447" w:rsidR="008E1071" w:rsidRDefault="008E1071">
      <w:pPr>
        <w:pStyle w:val="TOC3"/>
        <w:rPr>
          <w:rFonts w:asciiTheme="minorHAnsi" w:hAnsiTheme="minorHAnsi" w:hint="eastAsia"/>
          <w:noProof/>
          <w:szCs w:val="22"/>
        </w:rPr>
      </w:pPr>
      <w:r>
        <w:rPr>
          <w:noProof/>
        </w:rPr>
        <w:t>Measure Case Material Cost ($/unit)</w:t>
      </w:r>
      <w:r>
        <w:rPr>
          <w:noProof/>
        </w:rPr>
        <w:tab/>
      </w:r>
      <w:r>
        <w:rPr>
          <w:noProof/>
        </w:rPr>
        <w:fldChar w:fldCharType="begin"/>
      </w:r>
      <w:r>
        <w:rPr>
          <w:noProof/>
        </w:rPr>
        <w:instrText xml:space="preserve"> PAGEREF _Toc529355979 \h </w:instrText>
      </w:r>
      <w:r>
        <w:rPr>
          <w:noProof/>
        </w:rPr>
      </w:r>
      <w:r>
        <w:rPr>
          <w:noProof/>
        </w:rPr>
        <w:fldChar w:fldCharType="separate"/>
      </w:r>
      <w:r>
        <w:rPr>
          <w:noProof/>
        </w:rPr>
        <w:t>9</w:t>
      </w:r>
      <w:r>
        <w:rPr>
          <w:noProof/>
        </w:rPr>
        <w:fldChar w:fldCharType="end"/>
      </w:r>
    </w:p>
    <w:p w14:paraId="64F7363F" w14:textId="248276C5" w:rsidR="008E1071" w:rsidRDefault="008E1071">
      <w:pPr>
        <w:pStyle w:val="TOC3"/>
        <w:rPr>
          <w:rFonts w:asciiTheme="minorHAnsi" w:hAnsiTheme="minorHAnsi" w:hint="eastAsia"/>
          <w:noProof/>
          <w:szCs w:val="22"/>
        </w:rPr>
      </w:pPr>
      <w:r>
        <w:rPr>
          <w:noProof/>
        </w:rPr>
        <w:t>Base Case Labor Cost ($/unit)</w:t>
      </w:r>
      <w:r>
        <w:rPr>
          <w:noProof/>
        </w:rPr>
        <w:tab/>
      </w:r>
      <w:r>
        <w:rPr>
          <w:noProof/>
        </w:rPr>
        <w:fldChar w:fldCharType="begin"/>
      </w:r>
      <w:r>
        <w:rPr>
          <w:noProof/>
        </w:rPr>
        <w:instrText xml:space="preserve"> PAGEREF _Toc529355980 \h </w:instrText>
      </w:r>
      <w:r>
        <w:rPr>
          <w:noProof/>
        </w:rPr>
      </w:r>
      <w:r>
        <w:rPr>
          <w:noProof/>
        </w:rPr>
        <w:fldChar w:fldCharType="separate"/>
      </w:r>
      <w:r>
        <w:rPr>
          <w:noProof/>
        </w:rPr>
        <w:t>9</w:t>
      </w:r>
      <w:r>
        <w:rPr>
          <w:noProof/>
        </w:rPr>
        <w:fldChar w:fldCharType="end"/>
      </w:r>
    </w:p>
    <w:p w14:paraId="7AE8EBB8" w14:textId="11EB955D" w:rsidR="008E1071" w:rsidRDefault="008E1071">
      <w:pPr>
        <w:pStyle w:val="TOC3"/>
        <w:rPr>
          <w:rFonts w:asciiTheme="minorHAnsi" w:hAnsiTheme="minorHAnsi" w:hint="eastAsia"/>
          <w:noProof/>
          <w:szCs w:val="22"/>
        </w:rPr>
      </w:pPr>
      <w:r>
        <w:rPr>
          <w:noProof/>
        </w:rPr>
        <w:t>Measure Case Labor Cost ($/unit)</w:t>
      </w:r>
      <w:r>
        <w:rPr>
          <w:noProof/>
        </w:rPr>
        <w:tab/>
      </w:r>
      <w:r>
        <w:rPr>
          <w:noProof/>
        </w:rPr>
        <w:fldChar w:fldCharType="begin"/>
      </w:r>
      <w:r>
        <w:rPr>
          <w:noProof/>
        </w:rPr>
        <w:instrText xml:space="preserve"> PAGEREF _Toc529355981 \h </w:instrText>
      </w:r>
      <w:r>
        <w:rPr>
          <w:noProof/>
        </w:rPr>
      </w:r>
      <w:r>
        <w:rPr>
          <w:noProof/>
        </w:rPr>
        <w:fldChar w:fldCharType="separate"/>
      </w:r>
      <w:r>
        <w:rPr>
          <w:noProof/>
        </w:rPr>
        <w:t>9</w:t>
      </w:r>
      <w:r>
        <w:rPr>
          <w:noProof/>
        </w:rPr>
        <w:fldChar w:fldCharType="end"/>
      </w:r>
    </w:p>
    <w:p w14:paraId="54A7F411" w14:textId="4A0383F9" w:rsidR="008E1071" w:rsidRDefault="008E1071">
      <w:pPr>
        <w:pStyle w:val="TOC3"/>
        <w:rPr>
          <w:rFonts w:asciiTheme="minorHAnsi" w:hAnsiTheme="minorHAnsi" w:hint="eastAsia"/>
          <w:noProof/>
          <w:szCs w:val="22"/>
        </w:rPr>
      </w:pPr>
      <w:r>
        <w:rPr>
          <w:noProof/>
        </w:rPr>
        <w:t>Net-to-Gross (NTG)</w:t>
      </w:r>
      <w:r>
        <w:rPr>
          <w:noProof/>
        </w:rPr>
        <w:tab/>
      </w:r>
      <w:r>
        <w:rPr>
          <w:noProof/>
        </w:rPr>
        <w:fldChar w:fldCharType="begin"/>
      </w:r>
      <w:r>
        <w:rPr>
          <w:noProof/>
        </w:rPr>
        <w:instrText xml:space="preserve"> PAGEREF _Toc529355982 \h </w:instrText>
      </w:r>
      <w:r>
        <w:rPr>
          <w:noProof/>
        </w:rPr>
      </w:r>
      <w:r>
        <w:rPr>
          <w:noProof/>
        </w:rPr>
        <w:fldChar w:fldCharType="separate"/>
      </w:r>
      <w:r>
        <w:rPr>
          <w:noProof/>
        </w:rPr>
        <w:t>10</w:t>
      </w:r>
      <w:r>
        <w:rPr>
          <w:noProof/>
        </w:rPr>
        <w:fldChar w:fldCharType="end"/>
      </w:r>
    </w:p>
    <w:p w14:paraId="4A4B24B0" w14:textId="78F8C5ED" w:rsidR="008E1071" w:rsidRDefault="008E1071">
      <w:pPr>
        <w:pStyle w:val="TOC3"/>
        <w:rPr>
          <w:rFonts w:asciiTheme="minorHAnsi" w:hAnsiTheme="minorHAnsi" w:hint="eastAsia"/>
          <w:noProof/>
          <w:szCs w:val="22"/>
        </w:rPr>
      </w:pPr>
      <w:r>
        <w:rPr>
          <w:noProof/>
        </w:rPr>
        <w:t>Gross Savings Installation Adjustment (GSIA)</w:t>
      </w:r>
      <w:r>
        <w:rPr>
          <w:noProof/>
        </w:rPr>
        <w:tab/>
      </w:r>
      <w:r>
        <w:rPr>
          <w:noProof/>
        </w:rPr>
        <w:fldChar w:fldCharType="begin"/>
      </w:r>
      <w:r>
        <w:rPr>
          <w:noProof/>
        </w:rPr>
        <w:instrText xml:space="preserve"> PAGEREF _Toc529355983 \h </w:instrText>
      </w:r>
      <w:r>
        <w:rPr>
          <w:noProof/>
        </w:rPr>
      </w:r>
      <w:r>
        <w:rPr>
          <w:noProof/>
        </w:rPr>
        <w:fldChar w:fldCharType="separate"/>
      </w:r>
      <w:r>
        <w:rPr>
          <w:noProof/>
        </w:rPr>
        <w:t>10</w:t>
      </w:r>
      <w:r>
        <w:rPr>
          <w:noProof/>
        </w:rPr>
        <w:fldChar w:fldCharType="end"/>
      </w:r>
    </w:p>
    <w:p w14:paraId="3FCB5F16" w14:textId="27952C3B" w:rsidR="008E1071" w:rsidRDefault="008E1071">
      <w:pPr>
        <w:pStyle w:val="TOC3"/>
        <w:rPr>
          <w:rFonts w:asciiTheme="minorHAnsi" w:hAnsiTheme="minorHAnsi" w:hint="eastAsia"/>
          <w:noProof/>
          <w:szCs w:val="22"/>
        </w:rPr>
      </w:pPr>
      <w:r>
        <w:rPr>
          <w:noProof/>
        </w:rPr>
        <w:t>Non-Energy Impacts</w:t>
      </w:r>
      <w:r>
        <w:rPr>
          <w:noProof/>
        </w:rPr>
        <w:tab/>
      </w:r>
      <w:r>
        <w:rPr>
          <w:noProof/>
        </w:rPr>
        <w:fldChar w:fldCharType="begin"/>
      </w:r>
      <w:r>
        <w:rPr>
          <w:noProof/>
        </w:rPr>
        <w:instrText xml:space="preserve"> PAGEREF _Toc529355984 \h </w:instrText>
      </w:r>
      <w:r>
        <w:rPr>
          <w:noProof/>
        </w:rPr>
      </w:r>
      <w:r>
        <w:rPr>
          <w:noProof/>
        </w:rPr>
        <w:fldChar w:fldCharType="separate"/>
      </w:r>
      <w:r>
        <w:rPr>
          <w:noProof/>
        </w:rPr>
        <w:t>10</w:t>
      </w:r>
      <w:r>
        <w:rPr>
          <w:noProof/>
        </w:rPr>
        <w:fldChar w:fldCharType="end"/>
      </w:r>
    </w:p>
    <w:p w14:paraId="780B9F16" w14:textId="70E0A9C1" w:rsidR="008E1071" w:rsidRDefault="008E1071">
      <w:pPr>
        <w:pStyle w:val="TOC3"/>
        <w:rPr>
          <w:rFonts w:asciiTheme="minorHAnsi" w:hAnsiTheme="minorHAnsi" w:hint="eastAsia"/>
          <w:noProof/>
          <w:szCs w:val="22"/>
        </w:rPr>
      </w:pPr>
      <w:r>
        <w:rPr>
          <w:noProof/>
        </w:rPr>
        <w:t>DEER Differences Analysis</w:t>
      </w:r>
      <w:r>
        <w:rPr>
          <w:noProof/>
        </w:rPr>
        <w:tab/>
      </w:r>
      <w:r>
        <w:rPr>
          <w:noProof/>
        </w:rPr>
        <w:fldChar w:fldCharType="begin"/>
      </w:r>
      <w:r>
        <w:rPr>
          <w:noProof/>
        </w:rPr>
        <w:instrText xml:space="preserve"> PAGEREF _Toc529355985 \h </w:instrText>
      </w:r>
      <w:r>
        <w:rPr>
          <w:noProof/>
        </w:rPr>
      </w:r>
      <w:r>
        <w:rPr>
          <w:noProof/>
        </w:rPr>
        <w:fldChar w:fldCharType="separate"/>
      </w:r>
      <w:r>
        <w:rPr>
          <w:noProof/>
        </w:rPr>
        <w:t>10</w:t>
      </w:r>
      <w:r>
        <w:rPr>
          <w:noProof/>
        </w:rPr>
        <w:fldChar w:fldCharType="end"/>
      </w:r>
    </w:p>
    <w:p w14:paraId="70E315DC" w14:textId="558EE3F7" w:rsidR="008E1071" w:rsidRDefault="008E1071">
      <w:pPr>
        <w:pStyle w:val="TOC3"/>
        <w:rPr>
          <w:rFonts w:asciiTheme="minorHAnsi" w:hAnsiTheme="minorHAnsi" w:hint="eastAsia"/>
          <w:noProof/>
          <w:szCs w:val="22"/>
        </w:rPr>
      </w:pPr>
      <w:r>
        <w:rPr>
          <w:noProof/>
        </w:rPr>
        <w:t>Revision History</w:t>
      </w:r>
      <w:r>
        <w:rPr>
          <w:noProof/>
        </w:rPr>
        <w:tab/>
      </w:r>
      <w:r>
        <w:rPr>
          <w:noProof/>
        </w:rPr>
        <w:fldChar w:fldCharType="begin"/>
      </w:r>
      <w:r>
        <w:rPr>
          <w:noProof/>
        </w:rPr>
        <w:instrText xml:space="preserve"> PAGEREF _Toc529355986 \h </w:instrText>
      </w:r>
      <w:r>
        <w:rPr>
          <w:noProof/>
        </w:rPr>
      </w:r>
      <w:r>
        <w:rPr>
          <w:noProof/>
        </w:rPr>
        <w:fldChar w:fldCharType="separate"/>
      </w:r>
      <w:r>
        <w:rPr>
          <w:noProof/>
        </w:rPr>
        <w:t>11</w:t>
      </w:r>
      <w:r>
        <w:rPr>
          <w:noProof/>
        </w:rPr>
        <w:fldChar w:fldCharType="end"/>
      </w:r>
    </w:p>
    <w:p w14:paraId="4C194BAF" w14:textId="0EA80A57" w:rsidR="001C6C9B" w:rsidRPr="00D12B8C" w:rsidRDefault="001C6C9B" w:rsidP="00D12B8C">
      <w:r>
        <w:fldChar w:fldCharType="end"/>
      </w:r>
    </w:p>
    <w:p w14:paraId="7DD78D3A" w14:textId="77777777" w:rsidR="007E1F66" w:rsidRDefault="007E1F66" w:rsidP="004D29B2">
      <w:pPr>
        <w:pStyle w:val="eTRMHeading3"/>
        <w:sectPr w:rsidR="007E1F66" w:rsidSect="00181E01">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pgMar w:top="1440" w:right="1440" w:bottom="1440" w:left="1440" w:header="720" w:footer="720" w:gutter="0"/>
          <w:cols w:space="720"/>
          <w:titlePg/>
          <w:docGrid w:linePitch="360"/>
        </w:sectPr>
      </w:pPr>
    </w:p>
    <w:p w14:paraId="7DF8A38A" w14:textId="77777777" w:rsidR="00B9630B" w:rsidRPr="007E1F66" w:rsidRDefault="00B9630B" w:rsidP="00B9630B">
      <w:pPr>
        <w:pStyle w:val="eTRMHeading3"/>
        <w:spacing w:before="20" w:after="20" w:line="240" w:lineRule="auto"/>
      </w:pPr>
      <w:bookmarkStart w:id="0" w:name="_Toc486490839"/>
      <w:bookmarkStart w:id="1" w:name="_Toc486580912"/>
      <w:bookmarkStart w:id="2" w:name="_Toc529355963"/>
      <w:r w:rsidRPr="007E1F66">
        <w:lastRenderedPageBreak/>
        <w:t>Measure Name</w:t>
      </w:r>
      <w:bookmarkEnd w:id="0"/>
      <w:bookmarkEnd w:id="1"/>
      <w:bookmarkEnd w:id="2"/>
    </w:p>
    <w:p w14:paraId="46A6E735" w14:textId="213AE84D" w:rsidR="00B9630B" w:rsidRDefault="00B9630B" w:rsidP="00B9630B">
      <w:pPr>
        <w:spacing w:before="20" w:after="20" w:line="240" w:lineRule="auto"/>
      </w:pPr>
      <w:r w:rsidRPr="00A66484">
        <w:t>Vending and Beverage Merchandise Controller</w:t>
      </w:r>
    </w:p>
    <w:p w14:paraId="6BEEA331" w14:textId="77777777" w:rsidR="00B9630B" w:rsidRPr="00401C43" w:rsidRDefault="00B9630B" w:rsidP="00B9630B">
      <w:pPr>
        <w:spacing w:before="20" w:after="20" w:line="240" w:lineRule="auto"/>
      </w:pPr>
    </w:p>
    <w:p w14:paraId="0C00C2AF" w14:textId="77777777" w:rsidR="00B9630B" w:rsidRPr="00074E3E" w:rsidRDefault="00B9630B" w:rsidP="00B9630B">
      <w:pPr>
        <w:pStyle w:val="eTRMHeading3"/>
        <w:spacing w:before="20" w:after="20" w:line="240" w:lineRule="auto"/>
      </w:pPr>
      <w:bookmarkStart w:id="3" w:name="_Toc486490840"/>
      <w:bookmarkStart w:id="4" w:name="_Toc486580913"/>
      <w:bookmarkStart w:id="5" w:name="_Toc529355964"/>
      <w:r>
        <w:t>Statewide Measure ID</w:t>
      </w:r>
      <w:bookmarkEnd w:id="3"/>
      <w:bookmarkEnd w:id="4"/>
      <w:bookmarkEnd w:id="5"/>
    </w:p>
    <w:p w14:paraId="5B072615" w14:textId="1C4F64D3" w:rsidR="00B9630B" w:rsidRPr="00B9630B" w:rsidRDefault="00B9630B" w:rsidP="00B9630B">
      <w:r w:rsidRPr="00112334">
        <w:t>SWAP011</w:t>
      </w:r>
      <w:r w:rsidR="00112334" w:rsidRPr="00112334">
        <w:t>-</w:t>
      </w:r>
      <w:r w:rsidR="0086505E" w:rsidRPr="00112334">
        <w:t>0</w:t>
      </w:r>
      <w:r w:rsidR="0086505E">
        <w:t>2</w:t>
      </w:r>
    </w:p>
    <w:p w14:paraId="7FA071D5" w14:textId="77777777" w:rsidR="00B9630B" w:rsidRPr="00462BB6" w:rsidRDefault="00B9630B" w:rsidP="00112334"/>
    <w:p w14:paraId="0F7CA2E6" w14:textId="77777777" w:rsidR="00E70CBD" w:rsidRPr="00154391" w:rsidRDefault="00E70CBD" w:rsidP="004D29B2">
      <w:pPr>
        <w:pStyle w:val="eTRMHeading3"/>
      </w:pPr>
      <w:bookmarkStart w:id="6" w:name="_Toc486490847"/>
      <w:bookmarkStart w:id="7" w:name="_Toc486580918"/>
      <w:bookmarkStart w:id="8" w:name="_Toc529355965"/>
      <w:r w:rsidRPr="00154391">
        <w:t>Technology Summary</w:t>
      </w:r>
      <w:bookmarkEnd w:id="6"/>
      <w:bookmarkEnd w:id="7"/>
      <w:bookmarkEnd w:id="8"/>
      <w:r w:rsidRPr="00154391">
        <w:t xml:space="preserve"> </w:t>
      </w:r>
    </w:p>
    <w:p w14:paraId="29EA7D17" w14:textId="77777777" w:rsidR="0092292E" w:rsidRDefault="0092292E" w:rsidP="0092292E">
      <w:bookmarkStart w:id="9" w:name="_Hlk505349950"/>
      <w:r>
        <w:t>A beverage merchandise cooler is a commercial reach-in refrigerator with transparent doors and a self-contained condensing unit. The beverage merchandise cooler maintains product temperatures for non-perishable goods. It typically has lighting to illuminate the product.</w:t>
      </w:r>
    </w:p>
    <w:p w14:paraId="235A0B9C" w14:textId="3C115840" w:rsidR="0092292E" w:rsidRDefault="0092292E" w:rsidP="0092292E">
      <w:r>
        <w:t xml:space="preserve">A </w:t>
      </w:r>
      <w:r w:rsidR="003A2C4A">
        <w:t>beverage merchandise co</w:t>
      </w:r>
      <w:r w:rsidR="009824AE">
        <w:t>ntroller</w:t>
      </w:r>
      <w:r w:rsidR="00DC47FB">
        <w:t xml:space="preserve"> (BMC)</w:t>
      </w:r>
      <w:r w:rsidR="003A2C4A">
        <w:t xml:space="preserve"> </w:t>
      </w:r>
      <w:r>
        <w:t>is a device with a passive infrared occupancy sensor, a duplex receptacle, and a power cord for connecting the device to 120</w:t>
      </w:r>
      <w:r w:rsidR="006B550E">
        <w:t>-</w:t>
      </w:r>
      <w:r w:rsidR="008C3C3E">
        <w:t>volt</w:t>
      </w:r>
      <w:r>
        <w:t xml:space="preserve"> power. The energy savings are achieved by shutdown of the cooler when there are no occupants present. During the unoccupied periods, the controller measures ambient air temperature outside of the case and periodically turns on the cooler to maintain preset product temperatures. The controller does not interrupt cooling cycles when shutting down the cooler.</w:t>
      </w:r>
    </w:p>
    <w:p w14:paraId="336CD5F1" w14:textId="54A79CFA" w:rsidR="00C97228" w:rsidRDefault="0092292E" w:rsidP="0092292E">
      <w:r>
        <w:t>A vending machine is similar to a beverage merchandise cooler but dispenses product through a coin or bill-operated interface. Snack vending machines are typically not refrigerated. Vending machine controllers</w:t>
      </w:r>
      <w:r w:rsidR="003D4D40">
        <w:t xml:space="preserve"> (VMC)</w:t>
      </w:r>
      <w:r>
        <w:t xml:space="preserve"> shut down compressors and/or lighting during periods of non-use.</w:t>
      </w:r>
    </w:p>
    <w:bookmarkEnd w:id="9"/>
    <w:p w14:paraId="1DF81DF6" w14:textId="77777777" w:rsidR="00A66484" w:rsidRPr="00AB6C99" w:rsidRDefault="00A66484" w:rsidP="0092292E"/>
    <w:p w14:paraId="5AF18021" w14:textId="77777777" w:rsidR="007D230B" w:rsidRPr="004B06E3" w:rsidRDefault="007D230B" w:rsidP="004D29B2">
      <w:pPr>
        <w:pStyle w:val="eTRMHeading3"/>
      </w:pPr>
      <w:bookmarkStart w:id="10" w:name="_Toc486490848"/>
      <w:bookmarkStart w:id="11" w:name="_Toc486580919"/>
      <w:bookmarkStart w:id="12" w:name="_Toc529355966"/>
      <w:r w:rsidRPr="004B06E3">
        <w:t>Measure Case Description</w:t>
      </w:r>
      <w:bookmarkEnd w:id="10"/>
      <w:bookmarkEnd w:id="11"/>
      <w:bookmarkEnd w:id="12"/>
    </w:p>
    <w:p w14:paraId="3C84798F" w14:textId="3E8CCCDE" w:rsidR="00A12C8F" w:rsidRDefault="000A1B6C" w:rsidP="002942B0">
      <w:r>
        <w:t>This measure is defined as a</w:t>
      </w:r>
      <w:r w:rsidR="000C18CF" w:rsidRPr="000C18CF">
        <w:t>n occupancy sensor</w:t>
      </w:r>
      <w:r w:rsidR="008C3C3E">
        <w:t>-</w:t>
      </w:r>
      <w:r w:rsidR="000C18CF" w:rsidRPr="000C18CF">
        <w:t xml:space="preserve">based control </w:t>
      </w:r>
      <w:r>
        <w:t xml:space="preserve">that </w:t>
      </w:r>
      <w:r w:rsidR="000C18CF">
        <w:t>is instal</w:t>
      </w:r>
      <w:r>
        <w:t xml:space="preserve">led on existing vending machine or </w:t>
      </w:r>
      <w:r w:rsidR="000C18CF">
        <w:t xml:space="preserve">beverage merchandise cooler. This sensor and control </w:t>
      </w:r>
      <w:r w:rsidR="000C18CF" w:rsidRPr="000C18CF">
        <w:t>reduc</w:t>
      </w:r>
      <w:r w:rsidR="000C18CF">
        <w:t>es</w:t>
      </w:r>
      <w:r w:rsidR="006D36FD">
        <w:t xml:space="preserve"> the</w:t>
      </w:r>
      <w:r w:rsidR="000C18CF" w:rsidRPr="000C18CF">
        <w:t xml:space="preserve"> lighting and refrigeration </w:t>
      </w:r>
      <w:r w:rsidR="006D36FD">
        <w:t>and therefore the energy use</w:t>
      </w:r>
      <w:r w:rsidR="000C18CF" w:rsidRPr="000C18CF">
        <w:t xml:space="preserve"> of </w:t>
      </w:r>
      <w:r w:rsidR="006D36FD">
        <w:t>the host equipment.</w:t>
      </w:r>
      <w:r w:rsidR="00B46795">
        <w:t xml:space="preserve"> The measure offerings </w:t>
      </w:r>
      <w:r w:rsidR="00A12C8F">
        <w:t>(and therefore savings) vary by the configuration of the existing host vending or beverage machine.</w:t>
      </w:r>
    </w:p>
    <w:p w14:paraId="7340581D" w14:textId="3A9C32EC" w:rsidR="002942B0" w:rsidRDefault="00A12C8F" w:rsidP="004C3F03">
      <w:pPr>
        <w:pStyle w:val="Caption"/>
      </w:pPr>
      <w:r>
        <w:t xml:space="preserve">Vending and Beverage Merchandise Controller Measure Offerings </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785"/>
        <w:gridCol w:w="5845"/>
      </w:tblGrid>
      <w:tr w:rsidR="00A12C8F" w:rsidRPr="00A12C8F" w14:paraId="2C40371C" w14:textId="77777777" w:rsidTr="00A12C8F">
        <w:tc>
          <w:tcPr>
            <w:tcW w:w="2785" w:type="dxa"/>
            <w:shd w:val="clear" w:color="auto" w:fill="F2F2F2" w:themeFill="background1" w:themeFillShade="F2"/>
          </w:tcPr>
          <w:p w14:paraId="31E00CE2" w14:textId="42FE56CF" w:rsidR="00A12C8F" w:rsidRPr="00A12C8F" w:rsidRDefault="00A12C8F" w:rsidP="004C3F03">
            <w:pPr>
              <w:keepNext/>
              <w:keepLines/>
              <w:spacing w:before="20" w:after="20"/>
              <w:rPr>
                <w:b/>
                <w:sz w:val="20"/>
              </w:rPr>
            </w:pPr>
            <w:r w:rsidRPr="00A12C8F">
              <w:rPr>
                <w:b/>
                <w:sz w:val="20"/>
              </w:rPr>
              <w:t>Type</w:t>
            </w:r>
          </w:p>
        </w:tc>
        <w:tc>
          <w:tcPr>
            <w:tcW w:w="5845" w:type="dxa"/>
            <w:shd w:val="clear" w:color="auto" w:fill="F2F2F2" w:themeFill="background1" w:themeFillShade="F2"/>
          </w:tcPr>
          <w:p w14:paraId="27ACD3A5" w14:textId="2E570249" w:rsidR="00A12C8F" w:rsidRPr="00A12C8F" w:rsidRDefault="00A12C8F" w:rsidP="004C3F03">
            <w:pPr>
              <w:keepNext/>
              <w:keepLines/>
              <w:spacing w:before="20" w:after="20"/>
              <w:rPr>
                <w:b/>
                <w:sz w:val="20"/>
              </w:rPr>
            </w:pPr>
            <w:r w:rsidRPr="00A12C8F">
              <w:rPr>
                <w:b/>
                <w:sz w:val="20"/>
              </w:rPr>
              <w:t>Configuration</w:t>
            </w:r>
          </w:p>
        </w:tc>
      </w:tr>
      <w:tr w:rsidR="00A12C8F" w:rsidRPr="00A12C8F" w14:paraId="566BFFC0" w14:textId="77777777" w:rsidTr="00A12C8F">
        <w:tc>
          <w:tcPr>
            <w:tcW w:w="2785" w:type="dxa"/>
            <w:vMerge w:val="restart"/>
          </w:tcPr>
          <w:p w14:paraId="6ED124F7" w14:textId="368D93BF" w:rsidR="00A12C8F" w:rsidRPr="00A12C8F" w:rsidRDefault="00A12C8F" w:rsidP="004C3F03">
            <w:pPr>
              <w:keepNext/>
              <w:keepLines/>
              <w:spacing w:before="20" w:after="20"/>
              <w:rPr>
                <w:sz w:val="20"/>
              </w:rPr>
            </w:pPr>
            <w:r>
              <w:rPr>
                <w:sz w:val="20"/>
              </w:rPr>
              <w:t>Beverage Merchandise Coolers</w:t>
            </w:r>
          </w:p>
        </w:tc>
        <w:tc>
          <w:tcPr>
            <w:tcW w:w="5845" w:type="dxa"/>
          </w:tcPr>
          <w:p w14:paraId="5BF80F33" w14:textId="7B5B0B65" w:rsidR="00A12C8F" w:rsidRPr="00A12C8F" w:rsidRDefault="00A12C8F" w:rsidP="004C3F03">
            <w:pPr>
              <w:keepNext/>
              <w:keepLines/>
              <w:spacing w:before="20" w:after="20"/>
              <w:rPr>
                <w:sz w:val="20"/>
              </w:rPr>
            </w:pPr>
            <w:r w:rsidRPr="00A12C8F">
              <w:rPr>
                <w:sz w:val="20"/>
              </w:rPr>
              <w:t>Double-door beverage merchandise cooler</w:t>
            </w:r>
          </w:p>
        </w:tc>
      </w:tr>
      <w:tr w:rsidR="00A12C8F" w:rsidRPr="00A12C8F" w14:paraId="01B8E0B1" w14:textId="77777777" w:rsidTr="00A12C8F">
        <w:tc>
          <w:tcPr>
            <w:tcW w:w="2785" w:type="dxa"/>
            <w:vMerge/>
          </w:tcPr>
          <w:p w14:paraId="2A303045" w14:textId="77777777" w:rsidR="00A12C8F" w:rsidRPr="00A12C8F" w:rsidRDefault="00A12C8F" w:rsidP="004C3F03">
            <w:pPr>
              <w:keepNext/>
              <w:keepLines/>
              <w:spacing w:before="20" w:after="20"/>
              <w:rPr>
                <w:sz w:val="20"/>
              </w:rPr>
            </w:pPr>
          </w:p>
        </w:tc>
        <w:tc>
          <w:tcPr>
            <w:tcW w:w="5845" w:type="dxa"/>
          </w:tcPr>
          <w:p w14:paraId="083F5BFE" w14:textId="6883FA8F" w:rsidR="00A12C8F" w:rsidRPr="00A12C8F" w:rsidRDefault="00A12C8F" w:rsidP="004C3F03">
            <w:pPr>
              <w:keepNext/>
              <w:keepLines/>
              <w:spacing w:before="20" w:after="20"/>
              <w:rPr>
                <w:sz w:val="20"/>
              </w:rPr>
            </w:pPr>
            <w:r w:rsidRPr="00A12C8F">
              <w:rPr>
                <w:sz w:val="20"/>
              </w:rPr>
              <w:t>One-door beverage merchandise cooler</w:t>
            </w:r>
          </w:p>
        </w:tc>
      </w:tr>
      <w:tr w:rsidR="00A12C8F" w:rsidRPr="00A12C8F" w14:paraId="3FF2B54A" w14:textId="77777777" w:rsidTr="00A12C8F">
        <w:tc>
          <w:tcPr>
            <w:tcW w:w="2785" w:type="dxa"/>
            <w:vMerge/>
          </w:tcPr>
          <w:p w14:paraId="62DD05AC" w14:textId="77777777" w:rsidR="00A12C8F" w:rsidRPr="00A12C8F" w:rsidRDefault="00A12C8F" w:rsidP="004C3F03">
            <w:pPr>
              <w:keepNext/>
              <w:keepLines/>
              <w:spacing w:before="20" w:after="20"/>
              <w:rPr>
                <w:sz w:val="20"/>
              </w:rPr>
            </w:pPr>
          </w:p>
        </w:tc>
        <w:tc>
          <w:tcPr>
            <w:tcW w:w="5845" w:type="dxa"/>
          </w:tcPr>
          <w:p w14:paraId="2C90895E" w14:textId="15B88543" w:rsidR="00A12C8F" w:rsidRPr="00A12C8F" w:rsidRDefault="00A12C8F" w:rsidP="004C3F03">
            <w:pPr>
              <w:keepNext/>
              <w:keepLines/>
              <w:spacing w:before="20" w:after="20"/>
              <w:rPr>
                <w:sz w:val="20"/>
              </w:rPr>
            </w:pPr>
            <w:r w:rsidRPr="00A12C8F">
              <w:rPr>
                <w:sz w:val="20"/>
              </w:rPr>
              <w:t>One-door under-counter beverage merchandise cooler</w:t>
            </w:r>
          </w:p>
        </w:tc>
      </w:tr>
      <w:tr w:rsidR="00A12C8F" w:rsidRPr="00A12C8F" w14:paraId="71529060" w14:textId="77777777" w:rsidTr="00A12C8F">
        <w:tc>
          <w:tcPr>
            <w:tcW w:w="2785" w:type="dxa"/>
            <w:vMerge/>
          </w:tcPr>
          <w:p w14:paraId="3EB60550" w14:textId="77777777" w:rsidR="00A12C8F" w:rsidRPr="00A12C8F" w:rsidRDefault="00A12C8F" w:rsidP="004C3F03">
            <w:pPr>
              <w:keepNext/>
              <w:keepLines/>
              <w:spacing w:before="20" w:after="20"/>
              <w:rPr>
                <w:sz w:val="20"/>
              </w:rPr>
            </w:pPr>
          </w:p>
        </w:tc>
        <w:tc>
          <w:tcPr>
            <w:tcW w:w="5845" w:type="dxa"/>
          </w:tcPr>
          <w:p w14:paraId="5D21B611" w14:textId="542F8960" w:rsidR="00A12C8F" w:rsidRPr="00A12C8F" w:rsidRDefault="00A12C8F" w:rsidP="004C3F03">
            <w:pPr>
              <w:keepNext/>
              <w:keepLines/>
              <w:spacing w:before="20" w:after="20"/>
              <w:rPr>
                <w:sz w:val="20"/>
              </w:rPr>
            </w:pPr>
            <w:r w:rsidRPr="00A12C8F">
              <w:rPr>
                <w:sz w:val="20"/>
              </w:rPr>
              <w:t>Triple-Door beverage merchandise cooler</w:t>
            </w:r>
          </w:p>
        </w:tc>
      </w:tr>
      <w:tr w:rsidR="00A12C8F" w:rsidRPr="00A12C8F" w14:paraId="6173680C" w14:textId="77777777" w:rsidTr="00A12C8F">
        <w:tc>
          <w:tcPr>
            <w:tcW w:w="2785" w:type="dxa"/>
            <w:vMerge w:val="restart"/>
          </w:tcPr>
          <w:p w14:paraId="79BCDB4E" w14:textId="2E816F0A" w:rsidR="00A12C8F" w:rsidRPr="00A12C8F" w:rsidRDefault="00A12C8F" w:rsidP="004C3F03">
            <w:pPr>
              <w:keepNext/>
              <w:keepLines/>
              <w:spacing w:before="20" w:after="20"/>
              <w:rPr>
                <w:sz w:val="20"/>
              </w:rPr>
            </w:pPr>
            <w:r>
              <w:rPr>
                <w:sz w:val="20"/>
              </w:rPr>
              <w:t>Vending Machines</w:t>
            </w:r>
          </w:p>
        </w:tc>
        <w:tc>
          <w:tcPr>
            <w:tcW w:w="5845" w:type="dxa"/>
          </w:tcPr>
          <w:p w14:paraId="0779A9CA" w14:textId="67F694F1" w:rsidR="00A12C8F" w:rsidRPr="00A12C8F" w:rsidRDefault="00A12C8F" w:rsidP="004C3F03">
            <w:pPr>
              <w:keepNext/>
              <w:keepLines/>
              <w:spacing w:before="20" w:after="20"/>
              <w:rPr>
                <w:sz w:val="20"/>
              </w:rPr>
            </w:pPr>
            <w:r w:rsidRPr="00A12C8F">
              <w:rPr>
                <w:sz w:val="20"/>
              </w:rPr>
              <w:t>Cold vending machine control</w:t>
            </w:r>
          </w:p>
        </w:tc>
      </w:tr>
      <w:tr w:rsidR="00A12C8F" w:rsidRPr="00A12C8F" w14:paraId="6E40EBBC" w14:textId="77777777" w:rsidTr="00A12C8F">
        <w:tc>
          <w:tcPr>
            <w:tcW w:w="2785" w:type="dxa"/>
            <w:vMerge/>
          </w:tcPr>
          <w:p w14:paraId="0624B7D1" w14:textId="77777777" w:rsidR="00A12C8F" w:rsidRPr="00A12C8F" w:rsidRDefault="00A12C8F" w:rsidP="004C3F03">
            <w:pPr>
              <w:keepNext/>
              <w:keepLines/>
              <w:spacing w:before="20" w:after="20"/>
              <w:rPr>
                <w:sz w:val="20"/>
              </w:rPr>
            </w:pPr>
          </w:p>
        </w:tc>
        <w:tc>
          <w:tcPr>
            <w:tcW w:w="5845" w:type="dxa"/>
          </w:tcPr>
          <w:p w14:paraId="236B8102" w14:textId="5D3645E8" w:rsidR="00A12C8F" w:rsidRPr="00A12C8F" w:rsidRDefault="00A12C8F" w:rsidP="004C3F03">
            <w:pPr>
              <w:keepNext/>
              <w:keepLines/>
              <w:spacing w:before="20" w:after="20"/>
              <w:rPr>
                <w:sz w:val="20"/>
              </w:rPr>
            </w:pPr>
            <w:r w:rsidRPr="00A12C8F">
              <w:rPr>
                <w:sz w:val="20"/>
              </w:rPr>
              <w:t>Snack vending machine control</w:t>
            </w:r>
          </w:p>
        </w:tc>
      </w:tr>
    </w:tbl>
    <w:p w14:paraId="7E3763E6" w14:textId="77777777" w:rsidR="00B46795" w:rsidRDefault="00B46795" w:rsidP="00501745"/>
    <w:p w14:paraId="54FD79D6" w14:textId="77777777" w:rsidR="00E70CBD" w:rsidRPr="00171BB8" w:rsidRDefault="00E70CBD" w:rsidP="004D29B2">
      <w:pPr>
        <w:pStyle w:val="eTRMHeading3"/>
      </w:pPr>
      <w:bookmarkStart w:id="13" w:name="_Toc486490849"/>
      <w:bookmarkStart w:id="14" w:name="_Toc486580920"/>
      <w:bookmarkStart w:id="15" w:name="_Toc529355967"/>
      <w:r w:rsidRPr="004B06E3">
        <w:t>Base Case Description</w:t>
      </w:r>
      <w:bookmarkEnd w:id="13"/>
      <w:bookmarkEnd w:id="14"/>
      <w:bookmarkEnd w:id="15"/>
      <w:r w:rsidRPr="00171BB8">
        <w:t xml:space="preserve"> </w:t>
      </w:r>
    </w:p>
    <w:p w14:paraId="6203DC1D" w14:textId="1FA77D60" w:rsidR="009C31A4" w:rsidRDefault="00CE1CA9" w:rsidP="009C31A4">
      <w:r>
        <w:t xml:space="preserve">The base case for this measure is defines as an existing vending machine or </w:t>
      </w:r>
      <w:r w:rsidR="000C18CF">
        <w:t>beverage merchandise cooler with no control.</w:t>
      </w:r>
    </w:p>
    <w:p w14:paraId="31229FBE" w14:textId="77777777" w:rsidR="002942B0" w:rsidRPr="002942B0" w:rsidRDefault="002942B0" w:rsidP="002942B0"/>
    <w:p w14:paraId="7D9DA4A6" w14:textId="77777777" w:rsidR="007D230B" w:rsidRPr="00171BB8" w:rsidRDefault="007D230B" w:rsidP="004D29B2">
      <w:pPr>
        <w:pStyle w:val="eTRMHeading3"/>
      </w:pPr>
      <w:bookmarkStart w:id="16" w:name="_Toc486490850"/>
      <w:bookmarkStart w:id="17" w:name="_Toc486580921"/>
      <w:bookmarkStart w:id="18" w:name="_Toc529355968"/>
      <w:r w:rsidRPr="004B06E3">
        <w:lastRenderedPageBreak/>
        <w:t>Code Requirements</w:t>
      </w:r>
      <w:bookmarkEnd w:id="16"/>
      <w:bookmarkEnd w:id="17"/>
      <w:bookmarkEnd w:id="18"/>
    </w:p>
    <w:p w14:paraId="275B53A4" w14:textId="2CDBB09F" w:rsidR="008B5370" w:rsidRDefault="003A2C4A" w:rsidP="00A66484">
      <w:r>
        <w:t>The addition of</w:t>
      </w:r>
      <w:r w:rsidR="008B5370">
        <w:t xml:space="preserve"> controls on vending machines and beverage merchandise coolers is not regulated under </w:t>
      </w:r>
      <w:r w:rsidR="00F37710">
        <w:t>201</w:t>
      </w:r>
      <w:r w:rsidR="00D50DAB">
        <w:t>9</w:t>
      </w:r>
      <w:r w:rsidR="00F37710">
        <w:t xml:space="preserve"> </w:t>
      </w:r>
      <w:r w:rsidR="008B5370">
        <w:t>California Appliance Efficiency Regulations (Title 20)</w:t>
      </w:r>
      <w:r w:rsidR="00FF760A">
        <w:rPr>
          <w:rStyle w:val="FootnoteReference"/>
        </w:rPr>
        <w:footnoteReference w:id="2"/>
      </w:r>
      <w:r w:rsidR="008B5370">
        <w:t xml:space="preserve"> or the Code of Federal Regulations Title 10.</w:t>
      </w:r>
      <w:r w:rsidR="00FF760A">
        <w:rPr>
          <w:rStyle w:val="FootnoteReference"/>
        </w:rPr>
        <w:footnoteReference w:id="3"/>
      </w:r>
      <w:r w:rsidR="008B5370">
        <w:t xml:space="preserve">  </w:t>
      </w:r>
      <w:r w:rsidR="008B5370" w:rsidRPr="00A12C8F">
        <w:t xml:space="preserve">Both Title 20 and CFR Title 10 contain standards for daily energy use </w:t>
      </w:r>
      <w:r w:rsidR="00C14827" w:rsidRPr="00A12C8F">
        <w:t>of</w:t>
      </w:r>
      <w:r w:rsidR="008B5370" w:rsidRPr="00A12C8F">
        <w:t xml:space="preserve"> both </w:t>
      </w:r>
      <w:r w:rsidR="00A12C8F" w:rsidRPr="00A12C8F">
        <w:t>beverage and vending machines</w:t>
      </w:r>
      <w:r w:rsidR="00FF760A" w:rsidRPr="00A12C8F">
        <w:t>;</w:t>
      </w:r>
      <w:r w:rsidR="008B5370" w:rsidRPr="00A12C8F">
        <w:t xml:space="preserve"> Title 20 </w:t>
      </w:r>
      <w:r w:rsidR="00FF760A" w:rsidRPr="00A12C8F">
        <w:t>also includes</w:t>
      </w:r>
      <w:r w:rsidR="008B5370" w:rsidRPr="00A12C8F">
        <w:t xml:space="preserve"> a requirement for vending machines to have manufacturer-equipped</w:t>
      </w:r>
      <w:r w:rsidR="008B5370">
        <w:t xml:space="preserve"> hardware/software capable of automated low-power mode operation. However, these </w:t>
      </w:r>
      <w:r>
        <w:t xml:space="preserve">state and federal </w:t>
      </w:r>
      <w:r w:rsidR="008B5370">
        <w:t xml:space="preserve">requirements do not apply to the beverage coolers </w:t>
      </w:r>
      <w:r w:rsidR="00C14827">
        <w:t>included as measure offerings</w:t>
      </w:r>
      <w:r w:rsidR="008B5370">
        <w:t>.</w:t>
      </w:r>
    </w:p>
    <w:p w14:paraId="4246C7ED" w14:textId="2ADE38BB" w:rsidR="008B5370" w:rsidRDefault="006B550E" w:rsidP="00A66484">
      <w:r>
        <w:t>T</w:t>
      </w:r>
      <w:r w:rsidR="008B5370">
        <w:t xml:space="preserve">he maximum daily energy consumption </w:t>
      </w:r>
      <w:r>
        <w:t xml:space="preserve">of a beverage merchandise cooler is </w:t>
      </w:r>
      <w:r w:rsidR="0050764D">
        <w:t>established</w:t>
      </w:r>
      <w:r w:rsidR="008B5370">
        <w:t xml:space="preserve"> by the federal requirements in CFR Title 10 Part 431 Subpart C §431.66 (b) are identical to the requirements </w:t>
      </w:r>
      <w:r w:rsidR="0050764D">
        <w:t xml:space="preserve">set forth by </w:t>
      </w:r>
      <w:r w:rsidR="008B5370">
        <w:t xml:space="preserve">Title 20 Table A-4. </w:t>
      </w:r>
    </w:p>
    <w:p w14:paraId="77B15D50" w14:textId="5AADDCFB" w:rsidR="007D230B" w:rsidRDefault="006B550E" w:rsidP="00A66484">
      <w:r>
        <w:t>T</w:t>
      </w:r>
      <w:r w:rsidR="008B5370">
        <w:t xml:space="preserve">he maximum daily energy consumption </w:t>
      </w:r>
      <w:r>
        <w:t xml:space="preserve">of a canned vending machine is </w:t>
      </w:r>
      <w:r w:rsidR="0050764D">
        <w:t>established</w:t>
      </w:r>
      <w:r w:rsidR="008B5370">
        <w:t xml:space="preserve"> by the federal requirements in CFR Title 10 Part 431 Subpart Q §431.296 (b) are identical to Title 20 Table A-8</w:t>
      </w:r>
      <w:r w:rsidR="0050764D">
        <w:t>.</w:t>
      </w:r>
    </w:p>
    <w:p w14:paraId="7E96141F" w14:textId="155A4C26" w:rsidR="00FD2C54" w:rsidRPr="00FF760A" w:rsidRDefault="00FD2C54" w:rsidP="006B6484">
      <w:pPr>
        <w:pStyle w:val="Caption"/>
      </w:pPr>
      <w:r w:rsidRPr="00FF760A">
        <w:t xml:space="preserve">Applicable State and Federal Codes and Standards </w:t>
      </w:r>
    </w:p>
    <w:tbl>
      <w:tblPr>
        <w:tblW w:w="935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415"/>
        <w:gridCol w:w="3983"/>
        <w:gridCol w:w="1957"/>
      </w:tblGrid>
      <w:tr w:rsidR="00FD2C54" w:rsidRPr="00FF760A" w14:paraId="4623D54B" w14:textId="77777777" w:rsidTr="00112334">
        <w:tc>
          <w:tcPr>
            <w:tcW w:w="3415" w:type="dxa"/>
            <w:shd w:val="clear" w:color="auto" w:fill="F2F2F2" w:themeFill="background1" w:themeFillShade="F2"/>
            <w:vAlign w:val="bottom"/>
          </w:tcPr>
          <w:p w14:paraId="5E8EE0C5" w14:textId="77777777" w:rsidR="00FD2C54" w:rsidRPr="00FF760A" w:rsidRDefault="00FD2C54" w:rsidP="004F705B">
            <w:pPr>
              <w:keepNext/>
              <w:keepLines/>
              <w:spacing w:before="20" w:after="20"/>
              <w:rPr>
                <w:b/>
                <w:sz w:val="20"/>
                <w:szCs w:val="20"/>
              </w:rPr>
            </w:pPr>
            <w:r w:rsidRPr="00FF760A">
              <w:rPr>
                <w:b/>
                <w:sz w:val="20"/>
                <w:szCs w:val="20"/>
              </w:rPr>
              <w:t>Code</w:t>
            </w:r>
          </w:p>
        </w:tc>
        <w:tc>
          <w:tcPr>
            <w:tcW w:w="3983" w:type="dxa"/>
            <w:shd w:val="clear" w:color="auto" w:fill="F2F2F2" w:themeFill="background1" w:themeFillShade="F2"/>
            <w:vAlign w:val="bottom"/>
          </w:tcPr>
          <w:p w14:paraId="2A51DAFB" w14:textId="77777777" w:rsidR="00FD2C54" w:rsidRPr="00FF760A" w:rsidRDefault="00FD2C54" w:rsidP="004F705B">
            <w:pPr>
              <w:keepNext/>
              <w:keepLines/>
              <w:spacing w:before="20" w:after="20"/>
              <w:jc w:val="center"/>
              <w:rPr>
                <w:b/>
                <w:sz w:val="20"/>
                <w:szCs w:val="20"/>
              </w:rPr>
            </w:pPr>
            <w:r w:rsidRPr="00FF760A">
              <w:rPr>
                <w:b/>
                <w:sz w:val="20"/>
                <w:szCs w:val="20"/>
              </w:rPr>
              <w:t>Applicable Code Reference</w:t>
            </w:r>
          </w:p>
        </w:tc>
        <w:tc>
          <w:tcPr>
            <w:tcW w:w="1957" w:type="dxa"/>
            <w:shd w:val="clear" w:color="auto" w:fill="F2F2F2" w:themeFill="background1" w:themeFillShade="F2"/>
            <w:vAlign w:val="bottom"/>
          </w:tcPr>
          <w:p w14:paraId="214A9ADD" w14:textId="77777777" w:rsidR="00FD2C54" w:rsidRPr="00FF760A" w:rsidRDefault="00FD2C54" w:rsidP="004F705B">
            <w:pPr>
              <w:keepNext/>
              <w:keepLines/>
              <w:spacing w:before="20" w:after="20"/>
              <w:jc w:val="center"/>
              <w:rPr>
                <w:b/>
                <w:sz w:val="20"/>
                <w:szCs w:val="20"/>
              </w:rPr>
            </w:pPr>
            <w:r w:rsidRPr="00FF760A">
              <w:rPr>
                <w:b/>
                <w:sz w:val="20"/>
                <w:szCs w:val="20"/>
              </w:rPr>
              <w:t>Effective Date</w:t>
            </w:r>
          </w:p>
        </w:tc>
      </w:tr>
      <w:tr w:rsidR="00FD2C54" w:rsidRPr="00FF760A" w14:paraId="782F7264" w14:textId="77777777" w:rsidTr="00112334">
        <w:tc>
          <w:tcPr>
            <w:tcW w:w="3415" w:type="dxa"/>
            <w:shd w:val="clear" w:color="auto" w:fill="auto"/>
            <w:vAlign w:val="center"/>
          </w:tcPr>
          <w:p w14:paraId="67BA833F" w14:textId="0FA193AE" w:rsidR="00FD2C54" w:rsidRPr="00FF760A" w:rsidRDefault="00FD2C54" w:rsidP="004F705B">
            <w:pPr>
              <w:keepNext/>
              <w:keepLines/>
              <w:spacing w:before="20" w:after="20"/>
              <w:rPr>
                <w:sz w:val="20"/>
                <w:szCs w:val="20"/>
              </w:rPr>
            </w:pPr>
            <w:r w:rsidRPr="00FF760A">
              <w:rPr>
                <w:sz w:val="20"/>
                <w:szCs w:val="20"/>
              </w:rPr>
              <w:t xml:space="preserve">CA Appliance Efficiency Regulations – Title 20 </w:t>
            </w:r>
          </w:p>
        </w:tc>
        <w:tc>
          <w:tcPr>
            <w:tcW w:w="3983" w:type="dxa"/>
            <w:shd w:val="clear" w:color="auto" w:fill="auto"/>
            <w:vAlign w:val="center"/>
          </w:tcPr>
          <w:p w14:paraId="794A0264" w14:textId="0D00B4BD" w:rsidR="00FD2C54" w:rsidRPr="00FF760A" w:rsidRDefault="00826DA9" w:rsidP="004F705B">
            <w:pPr>
              <w:keepNext/>
              <w:keepLines/>
              <w:spacing w:before="20" w:after="20"/>
              <w:rPr>
                <w:sz w:val="20"/>
                <w:szCs w:val="20"/>
              </w:rPr>
            </w:pPr>
            <w:r w:rsidRPr="00FF760A">
              <w:rPr>
                <w:sz w:val="20"/>
                <w:szCs w:val="20"/>
              </w:rPr>
              <w:t>None</w:t>
            </w:r>
          </w:p>
        </w:tc>
        <w:tc>
          <w:tcPr>
            <w:tcW w:w="1957" w:type="dxa"/>
            <w:shd w:val="clear" w:color="auto" w:fill="auto"/>
            <w:vAlign w:val="center"/>
          </w:tcPr>
          <w:p w14:paraId="274AB5DC" w14:textId="64BD8384" w:rsidR="00FD2C54" w:rsidRPr="00FF760A" w:rsidRDefault="00826DA9" w:rsidP="00A66484">
            <w:pPr>
              <w:keepNext/>
              <w:keepLines/>
              <w:spacing w:before="20" w:after="20"/>
              <w:rPr>
                <w:sz w:val="20"/>
                <w:szCs w:val="20"/>
              </w:rPr>
            </w:pPr>
            <w:r w:rsidRPr="00FF760A">
              <w:rPr>
                <w:sz w:val="20"/>
                <w:szCs w:val="20"/>
              </w:rPr>
              <w:t>n/a</w:t>
            </w:r>
          </w:p>
        </w:tc>
      </w:tr>
      <w:tr w:rsidR="00FD2C54" w:rsidRPr="00FF760A" w14:paraId="1238F946" w14:textId="77777777" w:rsidTr="00112334">
        <w:trPr>
          <w:trHeight w:val="557"/>
        </w:trPr>
        <w:tc>
          <w:tcPr>
            <w:tcW w:w="3415" w:type="dxa"/>
            <w:shd w:val="clear" w:color="auto" w:fill="auto"/>
            <w:vAlign w:val="center"/>
          </w:tcPr>
          <w:p w14:paraId="4F444C61" w14:textId="44AB23B9" w:rsidR="00FD2C54" w:rsidRPr="00FF760A" w:rsidRDefault="00FD2C54" w:rsidP="00FD2C54">
            <w:pPr>
              <w:keepNext/>
              <w:keepLines/>
              <w:spacing w:before="20" w:after="20"/>
              <w:rPr>
                <w:sz w:val="20"/>
                <w:szCs w:val="20"/>
              </w:rPr>
            </w:pPr>
            <w:r w:rsidRPr="00FF760A">
              <w:rPr>
                <w:sz w:val="20"/>
                <w:szCs w:val="20"/>
              </w:rPr>
              <w:t xml:space="preserve">CA Building Energy Efficiency Standards – Title 24 </w:t>
            </w:r>
          </w:p>
        </w:tc>
        <w:tc>
          <w:tcPr>
            <w:tcW w:w="3983" w:type="dxa"/>
            <w:shd w:val="clear" w:color="auto" w:fill="auto"/>
            <w:vAlign w:val="center"/>
          </w:tcPr>
          <w:p w14:paraId="0A330E5E" w14:textId="3F6EEC62" w:rsidR="00FD2C54" w:rsidRPr="00FF760A" w:rsidRDefault="00826DA9" w:rsidP="00BA3D7D">
            <w:pPr>
              <w:keepNext/>
              <w:keepLines/>
              <w:spacing w:before="20" w:after="20"/>
              <w:rPr>
                <w:sz w:val="20"/>
                <w:szCs w:val="20"/>
              </w:rPr>
            </w:pPr>
            <w:r w:rsidRPr="00FF760A">
              <w:rPr>
                <w:sz w:val="20"/>
                <w:szCs w:val="20"/>
              </w:rPr>
              <w:t>None</w:t>
            </w:r>
          </w:p>
        </w:tc>
        <w:tc>
          <w:tcPr>
            <w:tcW w:w="1957" w:type="dxa"/>
            <w:shd w:val="clear" w:color="auto" w:fill="auto"/>
            <w:vAlign w:val="center"/>
          </w:tcPr>
          <w:p w14:paraId="63BAD98E" w14:textId="2C0C645B" w:rsidR="00FD2C54" w:rsidRPr="00FF760A" w:rsidRDefault="00826DA9" w:rsidP="00A66484">
            <w:pPr>
              <w:keepNext/>
              <w:keepLines/>
              <w:spacing w:before="20" w:after="20"/>
              <w:rPr>
                <w:sz w:val="20"/>
                <w:szCs w:val="20"/>
              </w:rPr>
            </w:pPr>
            <w:r w:rsidRPr="00FF760A">
              <w:rPr>
                <w:sz w:val="20"/>
                <w:szCs w:val="20"/>
              </w:rPr>
              <w:t>n/a</w:t>
            </w:r>
          </w:p>
        </w:tc>
      </w:tr>
      <w:tr w:rsidR="00FD2C54" w:rsidRPr="00FF760A" w14:paraId="23FB50B6" w14:textId="77777777" w:rsidTr="00112334">
        <w:tc>
          <w:tcPr>
            <w:tcW w:w="3415" w:type="dxa"/>
            <w:shd w:val="clear" w:color="auto" w:fill="auto"/>
            <w:vAlign w:val="center"/>
          </w:tcPr>
          <w:p w14:paraId="2EBFC05B" w14:textId="77777777" w:rsidR="00FD2C54" w:rsidRPr="00FF760A" w:rsidRDefault="00FD2C54" w:rsidP="00BA3D7D">
            <w:pPr>
              <w:keepNext/>
              <w:keepLines/>
              <w:spacing w:before="20" w:after="20"/>
              <w:rPr>
                <w:sz w:val="20"/>
                <w:szCs w:val="20"/>
              </w:rPr>
            </w:pPr>
            <w:r w:rsidRPr="00FF760A">
              <w:rPr>
                <w:sz w:val="20"/>
                <w:szCs w:val="20"/>
              </w:rPr>
              <w:t>Federal Standards</w:t>
            </w:r>
          </w:p>
        </w:tc>
        <w:tc>
          <w:tcPr>
            <w:tcW w:w="3983" w:type="dxa"/>
            <w:shd w:val="clear" w:color="auto" w:fill="auto"/>
            <w:vAlign w:val="center"/>
          </w:tcPr>
          <w:p w14:paraId="6CC48F66" w14:textId="77777777" w:rsidR="009C02CC" w:rsidRDefault="009C02CC" w:rsidP="009C02CC">
            <w:pPr>
              <w:keepNext/>
              <w:keepLines/>
              <w:spacing w:before="20" w:after="20"/>
              <w:rPr>
                <w:sz w:val="20"/>
                <w:szCs w:val="20"/>
              </w:rPr>
            </w:pPr>
            <w:r w:rsidRPr="00553E8B">
              <w:rPr>
                <w:sz w:val="20"/>
                <w:szCs w:val="20"/>
              </w:rPr>
              <w:t>CFR Title 10 Part 431 Subpart C §431.66 (b)</w:t>
            </w:r>
          </w:p>
          <w:p w14:paraId="076BCEC8" w14:textId="696DFFAB" w:rsidR="00FD2C54" w:rsidRPr="00FF760A" w:rsidRDefault="00D55049" w:rsidP="00BA3D7D">
            <w:pPr>
              <w:keepNext/>
              <w:keepLines/>
              <w:spacing w:before="20" w:after="20"/>
              <w:rPr>
                <w:sz w:val="20"/>
                <w:szCs w:val="20"/>
              </w:rPr>
            </w:pPr>
            <w:r w:rsidRPr="00FF760A">
              <w:rPr>
                <w:sz w:val="20"/>
                <w:szCs w:val="20"/>
              </w:rPr>
              <w:t>CFR Title 10 Part 431 Subpart Q §431.296 (a)</w:t>
            </w:r>
          </w:p>
          <w:p w14:paraId="0D43394E" w14:textId="4C4549D7" w:rsidR="00D55049" w:rsidRPr="00FF760A" w:rsidRDefault="00D55049" w:rsidP="00BA3D7D">
            <w:pPr>
              <w:keepNext/>
              <w:keepLines/>
              <w:spacing w:before="20" w:after="20"/>
              <w:rPr>
                <w:sz w:val="20"/>
                <w:szCs w:val="20"/>
              </w:rPr>
            </w:pPr>
            <w:r w:rsidRPr="00FF760A">
              <w:rPr>
                <w:sz w:val="20"/>
                <w:szCs w:val="20"/>
              </w:rPr>
              <w:t>CFR Title 10 Part 431 Subpart Q §431.296 (b)</w:t>
            </w:r>
          </w:p>
        </w:tc>
        <w:tc>
          <w:tcPr>
            <w:tcW w:w="1957" w:type="dxa"/>
            <w:shd w:val="clear" w:color="auto" w:fill="auto"/>
            <w:vAlign w:val="center"/>
          </w:tcPr>
          <w:p w14:paraId="24E75C38" w14:textId="77777777" w:rsidR="009C02CC" w:rsidRDefault="009C02CC" w:rsidP="009C02CC">
            <w:pPr>
              <w:keepNext/>
              <w:keepLines/>
              <w:spacing w:before="20" w:after="20"/>
              <w:rPr>
                <w:sz w:val="20"/>
                <w:szCs w:val="20"/>
              </w:rPr>
            </w:pPr>
            <w:r>
              <w:rPr>
                <w:sz w:val="20"/>
                <w:szCs w:val="20"/>
              </w:rPr>
              <w:t>January 1, 2010</w:t>
            </w:r>
          </w:p>
          <w:p w14:paraId="3FEA474F" w14:textId="731934BF" w:rsidR="00FD2C54" w:rsidRPr="00FF760A" w:rsidRDefault="00D55049" w:rsidP="00A66484">
            <w:pPr>
              <w:keepNext/>
              <w:keepLines/>
              <w:spacing w:before="20" w:after="20"/>
              <w:rPr>
                <w:sz w:val="20"/>
                <w:szCs w:val="20"/>
              </w:rPr>
            </w:pPr>
            <w:r w:rsidRPr="00FF760A">
              <w:rPr>
                <w:sz w:val="20"/>
                <w:szCs w:val="20"/>
              </w:rPr>
              <w:t>August 31, 2012</w:t>
            </w:r>
          </w:p>
          <w:p w14:paraId="66FA1B6F" w14:textId="4EF5958C" w:rsidR="00D55049" w:rsidRPr="00FF760A" w:rsidRDefault="00D55049" w:rsidP="00A66484">
            <w:pPr>
              <w:keepNext/>
              <w:keepLines/>
              <w:spacing w:before="20" w:after="20"/>
              <w:rPr>
                <w:sz w:val="20"/>
                <w:szCs w:val="20"/>
              </w:rPr>
            </w:pPr>
            <w:r w:rsidRPr="00FF760A">
              <w:rPr>
                <w:sz w:val="20"/>
                <w:szCs w:val="20"/>
              </w:rPr>
              <w:t>January 8, 2019</w:t>
            </w:r>
          </w:p>
        </w:tc>
      </w:tr>
    </w:tbl>
    <w:p w14:paraId="28A93655" w14:textId="77777777" w:rsidR="00FD2C54" w:rsidRDefault="00FD2C54" w:rsidP="0011498C"/>
    <w:p w14:paraId="1EE16D20" w14:textId="77777777" w:rsidR="007D230B" w:rsidRPr="00171BB8" w:rsidRDefault="007D230B" w:rsidP="004D29B2">
      <w:pPr>
        <w:pStyle w:val="eTRMHeading3"/>
      </w:pPr>
      <w:bookmarkStart w:id="19" w:name="_Toc486490851"/>
      <w:bookmarkStart w:id="20" w:name="_Toc486580922"/>
      <w:bookmarkStart w:id="21" w:name="_Toc529355969"/>
      <w:r w:rsidRPr="00A83458">
        <w:t>Normalizing</w:t>
      </w:r>
      <w:r w:rsidRPr="00171BB8">
        <w:t xml:space="preserve"> Unit</w:t>
      </w:r>
      <w:bookmarkEnd w:id="19"/>
      <w:bookmarkEnd w:id="20"/>
      <w:bookmarkEnd w:id="21"/>
    </w:p>
    <w:p w14:paraId="085E9363" w14:textId="18A675DE" w:rsidR="007D230B" w:rsidRDefault="00A12C8F" w:rsidP="00486585">
      <w:r>
        <w:t>Each (p</w:t>
      </w:r>
      <w:r w:rsidR="00444A8F">
        <w:t>er sensor</w:t>
      </w:r>
      <w:r>
        <w:t>)</w:t>
      </w:r>
      <w:r w:rsidR="00B95791">
        <w:t>.</w:t>
      </w:r>
    </w:p>
    <w:p w14:paraId="0115BB45" w14:textId="77777777" w:rsidR="009C31A4" w:rsidRPr="007D230B" w:rsidRDefault="009C31A4" w:rsidP="00486585"/>
    <w:p w14:paraId="2F4904E6" w14:textId="77777777" w:rsidR="007D230B" w:rsidRPr="004B06E3" w:rsidRDefault="007D230B" w:rsidP="004D29B2">
      <w:pPr>
        <w:pStyle w:val="eTRMHeading3"/>
      </w:pPr>
      <w:bookmarkStart w:id="22" w:name="_Toc486490852"/>
      <w:bookmarkStart w:id="23" w:name="_Toc486580923"/>
      <w:bookmarkStart w:id="24" w:name="_Toc529355970"/>
      <w:r w:rsidRPr="004B06E3">
        <w:t>Program Requirements</w:t>
      </w:r>
      <w:bookmarkEnd w:id="22"/>
      <w:bookmarkEnd w:id="23"/>
      <w:bookmarkEnd w:id="24"/>
      <w:r w:rsidRPr="004B06E3">
        <w:t xml:space="preserve"> </w:t>
      </w:r>
    </w:p>
    <w:p w14:paraId="3F3106FD" w14:textId="77777777" w:rsidR="00317B4F" w:rsidRPr="000229F1" w:rsidRDefault="00317B4F" w:rsidP="00317B4F">
      <w:pPr>
        <w:pStyle w:val="eTRMHeading5"/>
        <w:keepNext/>
        <w:keepLines/>
      </w:pPr>
      <w:r>
        <w:t xml:space="preserve">Measure </w:t>
      </w:r>
      <w:r w:rsidRPr="000229F1">
        <w:t>Implementation Eligibility</w:t>
      </w:r>
    </w:p>
    <w:p w14:paraId="6A9A2645" w14:textId="77777777" w:rsidR="00112334" w:rsidRDefault="00112334" w:rsidP="00112334">
      <w:bookmarkStart w:id="25" w:name="_Hlk527543844"/>
      <w:bookmarkStart w:id="26" w:name="_Hlk526859582"/>
      <w:bookmarkStart w:id="27" w:name="_Hlk529275477"/>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25"/>
    </w:p>
    <w:bookmarkEnd w:id="26"/>
    <w:p w14:paraId="36BB1B74" w14:textId="77777777" w:rsidR="00112334" w:rsidRPr="00CC4643" w:rsidRDefault="00112334" w:rsidP="00112334">
      <w:pPr>
        <w:rPr>
          <w:i/>
        </w:rPr>
      </w:pPr>
      <w:r w:rsidRPr="00CC4643">
        <w:rPr>
          <w:i/>
        </w:rPr>
        <w:lastRenderedPageBreak/>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bookmarkEnd w:id="27"/>
    <w:p w14:paraId="4BE3022B" w14:textId="60C4D362" w:rsidR="00317B4F" w:rsidRDefault="00317B4F" w:rsidP="00317B4F">
      <w:pPr>
        <w:pStyle w:val="Caption"/>
      </w:pPr>
      <w:r>
        <w:t>Implementation Eligibility</w:t>
      </w:r>
    </w:p>
    <w:tbl>
      <w:tblPr>
        <w:tblW w:w="90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3024"/>
        <w:gridCol w:w="3024"/>
      </w:tblGrid>
      <w:tr w:rsidR="00317B4F" w:rsidRPr="00A47168" w14:paraId="3265A759" w14:textId="77777777" w:rsidTr="00B9630B">
        <w:trPr>
          <w:trHeight w:val="290"/>
        </w:trPr>
        <w:tc>
          <w:tcPr>
            <w:tcW w:w="3024" w:type="dxa"/>
            <w:shd w:val="clear" w:color="auto" w:fill="F2F2F2" w:themeFill="background1" w:themeFillShade="F2"/>
            <w:noWrap/>
            <w:tcMar>
              <w:top w:w="0" w:type="dxa"/>
              <w:left w:w="108" w:type="dxa"/>
              <w:bottom w:w="0" w:type="dxa"/>
              <w:right w:w="108" w:type="dxa"/>
            </w:tcMar>
            <w:vAlign w:val="bottom"/>
            <w:hideMark/>
          </w:tcPr>
          <w:p w14:paraId="5ED6F9C5" w14:textId="77777777" w:rsidR="00317B4F" w:rsidRPr="00A47168" w:rsidRDefault="00317B4F" w:rsidP="00B9630B">
            <w:pPr>
              <w:keepNext/>
              <w:spacing w:before="0" w:after="0"/>
              <w:rPr>
                <w:b/>
                <w:bCs/>
                <w:sz w:val="20"/>
              </w:rPr>
            </w:pPr>
            <w:r w:rsidRPr="00A47168">
              <w:rPr>
                <w:b/>
                <w:bCs/>
                <w:sz w:val="20"/>
              </w:rPr>
              <w:t>Measure Application Type</w:t>
            </w:r>
          </w:p>
        </w:tc>
        <w:tc>
          <w:tcPr>
            <w:tcW w:w="3024" w:type="dxa"/>
            <w:shd w:val="clear" w:color="auto" w:fill="F2F2F2" w:themeFill="background1" w:themeFillShade="F2"/>
            <w:noWrap/>
            <w:tcMar>
              <w:top w:w="0" w:type="dxa"/>
              <w:left w:w="108" w:type="dxa"/>
              <w:bottom w:w="0" w:type="dxa"/>
              <w:right w:w="108" w:type="dxa"/>
            </w:tcMar>
            <w:vAlign w:val="bottom"/>
            <w:hideMark/>
          </w:tcPr>
          <w:p w14:paraId="7838E5B6" w14:textId="77777777" w:rsidR="00317B4F" w:rsidRPr="00A47168" w:rsidRDefault="00317B4F" w:rsidP="00B9630B">
            <w:pPr>
              <w:keepNext/>
              <w:spacing w:before="0" w:after="0"/>
              <w:rPr>
                <w:b/>
                <w:bCs/>
                <w:sz w:val="20"/>
              </w:rPr>
            </w:pPr>
            <w:r w:rsidRPr="00A47168">
              <w:rPr>
                <w:b/>
                <w:bCs/>
                <w:sz w:val="20"/>
              </w:rPr>
              <w:t>Delivery Type</w:t>
            </w:r>
          </w:p>
        </w:tc>
        <w:tc>
          <w:tcPr>
            <w:tcW w:w="3024" w:type="dxa"/>
            <w:shd w:val="clear" w:color="auto" w:fill="F2F2F2" w:themeFill="background1" w:themeFillShade="F2"/>
            <w:noWrap/>
            <w:tcMar>
              <w:top w:w="0" w:type="dxa"/>
              <w:left w:w="108" w:type="dxa"/>
              <w:bottom w:w="0" w:type="dxa"/>
              <w:right w:w="108" w:type="dxa"/>
            </w:tcMar>
            <w:vAlign w:val="bottom"/>
            <w:hideMark/>
          </w:tcPr>
          <w:p w14:paraId="39D16D94" w14:textId="77777777" w:rsidR="00317B4F" w:rsidRPr="00A47168" w:rsidRDefault="00317B4F" w:rsidP="00B9630B">
            <w:pPr>
              <w:keepNext/>
              <w:spacing w:before="0" w:after="0"/>
              <w:rPr>
                <w:b/>
                <w:bCs/>
                <w:sz w:val="20"/>
              </w:rPr>
            </w:pPr>
            <w:r w:rsidRPr="00A47168">
              <w:rPr>
                <w:b/>
                <w:bCs/>
                <w:sz w:val="20"/>
              </w:rPr>
              <w:t>Sector</w:t>
            </w:r>
          </w:p>
        </w:tc>
      </w:tr>
      <w:tr w:rsidR="00317B4F" w:rsidRPr="00A47168" w14:paraId="66568CF3" w14:textId="77777777" w:rsidTr="00B9630B">
        <w:trPr>
          <w:trHeight w:val="290"/>
        </w:trPr>
        <w:tc>
          <w:tcPr>
            <w:tcW w:w="3024" w:type="dxa"/>
            <w:noWrap/>
            <w:tcMar>
              <w:top w:w="0" w:type="dxa"/>
              <w:left w:w="108" w:type="dxa"/>
              <w:bottom w:w="0" w:type="dxa"/>
              <w:right w:w="108" w:type="dxa"/>
            </w:tcMar>
            <w:vAlign w:val="bottom"/>
          </w:tcPr>
          <w:p w14:paraId="00D1E058" w14:textId="10B52E39" w:rsidR="00317B4F" w:rsidRPr="00317B4F" w:rsidRDefault="00112334" w:rsidP="00317B4F">
            <w:pPr>
              <w:keepNext/>
              <w:spacing w:before="0" w:after="0"/>
              <w:rPr>
                <w:color w:val="000000"/>
                <w:sz w:val="20"/>
              </w:rPr>
            </w:pPr>
            <w:r>
              <w:rPr>
                <w:rFonts w:cs="Calibri Light"/>
                <w:color w:val="000000"/>
                <w:sz w:val="20"/>
                <w:szCs w:val="22"/>
              </w:rPr>
              <w:t>Add-on equipment</w:t>
            </w:r>
          </w:p>
        </w:tc>
        <w:tc>
          <w:tcPr>
            <w:tcW w:w="3024" w:type="dxa"/>
            <w:noWrap/>
            <w:tcMar>
              <w:top w:w="0" w:type="dxa"/>
              <w:left w:w="108" w:type="dxa"/>
              <w:bottom w:w="0" w:type="dxa"/>
              <w:right w:w="108" w:type="dxa"/>
            </w:tcMar>
            <w:vAlign w:val="bottom"/>
          </w:tcPr>
          <w:p w14:paraId="0E984FBC" w14:textId="61D18EDE" w:rsidR="00317B4F" w:rsidRPr="00317B4F" w:rsidRDefault="00317B4F" w:rsidP="00317B4F">
            <w:pPr>
              <w:keepNext/>
              <w:spacing w:before="0" w:after="0"/>
              <w:rPr>
                <w:color w:val="000000"/>
                <w:sz w:val="20"/>
              </w:rPr>
            </w:pPr>
            <w:proofErr w:type="spellStart"/>
            <w:r w:rsidRPr="00317B4F">
              <w:rPr>
                <w:rFonts w:cs="Calibri Light"/>
                <w:color w:val="000000"/>
                <w:sz w:val="20"/>
                <w:szCs w:val="22"/>
              </w:rPr>
              <w:t>DirInstall</w:t>
            </w:r>
            <w:proofErr w:type="spellEnd"/>
          </w:p>
        </w:tc>
        <w:tc>
          <w:tcPr>
            <w:tcW w:w="3024" w:type="dxa"/>
            <w:noWrap/>
            <w:tcMar>
              <w:top w:w="0" w:type="dxa"/>
              <w:left w:w="108" w:type="dxa"/>
              <w:bottom w:w="0" w:type="dxa"/>
              <w:right w:w="108" w:type="dxa"/>
            </w:tcMar>
            <w:vAlign w:val="bottom"/>
          </w:tcPr>
          <w:p w14:paraId="0437A8E2" w14:textId="3F62BAB5" w:rsidR="00317B4F" w:rsidRPr="00317B4F" w:rsidRDefault="00317B4F" w:rsidP="00317B4F">
            <w:pPr>
              <w:keepNext/>
              <w:spacing w:before="0" w:after="0"/>
              <w:rPr>
                <w:color w:val="000000"/>
                <w:sz w:val="20"/>
              </w:rPr>
            </w:pPr>
            <w:r w:rsidRPr="00317B4F">
              <w:rPr>
                <w:rFonts w:cs="Calibri Light"/>
                <w:color w:val="000000"/>
                <w:sz w:val="20"/>
                <w:szCs w:val="22"/>
              </w:rPr>
              <w:t>Com</w:t>
            </w:r>
          </w:p>
        </w:tc>
      </w:tr>
      <w:tr w:rsidR="00112334" w:rsidRPr="00A47168" w14:paraId="4D5145E8" w14:textId="77777777" w:rsidTr="00354747">
        <w:trPr>
          <w:trHeight w:val="290"/>
        </w:trPr>
        <w:tc>
          <w:tcPr>
            <w:tcW w:w="3024" w:type="dxa"/>
            <w:noWrap/>
            <w:tcMar>
              <w:top w:w="0" w:type="dxa"/>
              <w:left w:w="108" w:type="dxa"/>
              <w:bottom w:w="0" w:type="dxa"/>
              <w:right w:w="108" w:type="dxa"/>
            </w:tcMar>
          </w:tcPr>
          <w:p w14:paraId="216A3A3B" w14:textId="0F5E971D" w:rsidR="00112334" w:rsidRPr="00317B4F" w:rsidRDefault="00112334" w:rsidP="00112334">
            <w:pPr>
              <w:keepNext/>
              <w:spacing w:before="0" w:after="0"/>
              <w:rPr>
                <w:color w:val="000000"/>
                <w:sz w:val="20"/>
              </w:rPr>
            </w:pPr>
            <w:r w:rsidRPr="00CF1DAF">
              <w:rPr>
                <w:rFonts w:cs="Calibri Light"/>
                <w:color w:val="000000"/>
                <w:sz w:val="20"/>
                <w:szCs w:val="22"/>
              </w:rPr>
              <w:t>Add-on equipment</w:t>
            </w:r>
          </w:p>
        </w:tc>
        <w:tc>
          <w:tcPr>
            <w:tcW w:w="3024" w:type="dxa"/>
            <w:noWrap/>
            <w:tcMar>
              <w:top w:w="0" w:type="dxa"/>
              <w:left w:w="108" w:type="dxa"/>
              <w:bottom w:w="0" w:type="dxa"/>
              <w:right w:w="108" w:type="dxa"/>
            </w:tcMar>
            <w:vAlign w:val="bottom"/>
          </w:tcPr>
          <w:p w14:paraId="0348B377" w14:textId="54ABE0F1" w:rsidR="00112334" w:rsidRPr="00317B4F" w:rsidRDefault="00112334" w:rsidP="00112334">
            <w:pPr>
              <w:keepNext/>
              <w:spacing w:before="0" w:after="0"/>
              <w:rPr>
                <w:color w:val="000000"/>
                <w:sz w:val="20"/>
              </w:rPr>
            </w:pPr>
            <w:proofErr w:type="spellStart"/>
            <w:r w:rsidRPr="00317B4F">
              <w:rPr>
                <w:rFonts w:cs="Calibri Light"/>
                <w:color w:val="000000"/>
                <w:sz w:val="20"/>
                <w:szCs w:val="22"/>
              </w:rPr>
              <w:t>DirInstall</w:t>
            </w:r>
            <w:proofErr w:type="spellEnd"/>
          </w:p>
        </w:tc>
        <w:tc>
          <w:tcPr>
            <w:tcW w:w="3024" w:type="dxa"/>
            <w:noWrap/>
            <w:tcMar>
              <w:top w:w="0" w:type="dxa"/>
              <w:left w:w="108" w:type="dxa"/>
              <w:bottom w:w="0" w:type="dxa"/>
              <w:right w:w="108" w:type="dxa"/>
            </w:tcMar>
            <w:vAlign w:val="bottom"/>
          </w:tcPr>
          <w:p w14:paraId="1719A164" w14:textId="60E16ADF" w:rsidR="00112334" w:rsidRPr="00317B4F" w:rsidRDefault="00112334" w:rsidP="00112334">
            <w:pPr>
              <w:keepNext/>
              <w:spacing w:before="0" w:after="0"/>
              <w:rPr>
                <w:color w:val="000000"/>
                <w:sz w:val="20"/>
              </w:rPr>
            </w:pPr>
            <w:r w:rsidRPr="00317B4F">
              <w:rPr>
                <w:rFonts w:cs="Calibri Light"/>
                <w:color w:val="000000"/>
                <w:sz w:val="20"/>
                <w:szCs w:val="22"/>
              </w:rPr>
              <w:t>Res</w:t>
            </w:r>
          </w:p>
        </w:tc>
      </w:tr>
      <w:tr w:rsidR="00112334" w:rsidRPr="00A47168" w14:paraId="5A5EC7BD" w14:textId="77777777" w:rsidTr="00354747">
        <w:trPr>
          <w:trHeight w:val="290"/>
        </w:trPr>
        <w:tc>
          <w:tcPr>
            <w:tcW w:w="3024" w:type="dxa"/>
            <w:noWrap/>
            <w:tcMar>
              <w:top w:w="0" w:type="dxa"/>
              <w:left w:w="108" w:type="dxa"/>
              <w:bottom w:w="0" w:type="dxa"/>
              <w:right w:w="108" w:type="dxa"/>
            </w:tcMar>
          </w:tcPr>
          <w:p w14:paraId="41F3B830" w14:textId="085BA90A" w:rsidR="00112334" w:rsidRPr="00317B4F" w:rsidRDefault="00112334" w:rsidP="00112334">
            <w:pPr>
              <w:keepNext/>
              <w:spacing w:before="0" w:after="0"/>
              <w:rPr>
                <w:color w:val="000000"/>
                <w:sz w:val="20"/>
              </w:rPr>
            </w:pPr>
            <w:r w:rsidRPr="00CF1DAF">
              <w:rPr>
                <w:rFonts w:cs="Calibri Light"/>
                <w:color w:val="000000"/>
                <w:sz w:val="20"/>
                <w:szCs w:val="22"/>
              </w:rPr>
              <w:t>Add-on equipment</w:t>
            </w:r>
          </w:p>
        </w:tc>
        <w:tc>
          <w:tcPr>
            <w:tcW w:w="3024" w:type="dxa"/>
            <w:noWrap/>
            <w:tcMar>
              <w:top w:w="0" w:type="dxa"/>
              <w:left w:w="108" w:type="dxa"/>
              <w:bottom w:w="0" w:type="dxa"/>
              <w:right w:w="108" w:type="dxa"/>
            </w:tcMar>
            <w:vAlign w:val="bottom"/>
          </w:tcPr>
          <w:p w14:paraId="3DEDDA49" w14:textId="6B6689F6" w:rsidR="00112334" w:rsidRPr="00317B4F" w:rsidRDefault="00112334" w:rsidP="00112334">
            <w:pPr>
              <w:keepNext/>
              <w:spacing w:before="0" w:after="0"/>
              <w:rPr>
                <w:color w:val="000000"/>
                <w:sz w:val="20"/>
              </w:rPr>
            </w:pPr>
            <w:proofErr w:type="spellStart"/>
            <w:r w:rsidRPr="00317B4F">
              <w:rPr>
                <w:rFonts w:cs="Calibri Light"/>
                <w:color w:val="000000"/>
                <w:sz w:val="20"/>
                <w:szCs w:val="22"/>
              </w:rPr>
              <w:t>PreRebDown</w:t>
            </w:r>
            <w:proofErr w:type="spellEnd"/>
          </w:p>
        </w:tc>
        <w:tc>
          <w:tcPr>
            <w:tcW w:w="3024" w:type="dxa"/>
            <w:noWrap/>
            <w:tcMar>
              <w:top w:w="0" w:type="dxa"/>
              <w:left w:w="108" w:type="dxa"/>
              <w:bottom w:w="0" w:type="dxa"/>
              <w:right w:w="108" w:type="dxa"/>
            </w:tcMar>
            <w:vAlign w:val="bottom"/>
          </w:tcPr>
          <w:p w14:paraId="68DBFBFB" w14:textId="57C78545" w:rsidR="00112334" w:rsidRPr="00317B4F" w:rsidRDefault="00112334" w:rsidP="00112334">
            <w:pPr>
              <w:keepNext/>
              <w:spacing w:before="0" w:after="0"/>
              <w:rPr>
                <w:color w:val="000000"/>
                <w:sz w:val="20"/>
              </w:rPr>
            </w:pPr>
            <w:r w:rsidRPr="00317B4F">
              <w:rPr>
                <w:rFonts w:cs="Calibri Light"/>
                <w:color w:val="000000"/>
                <w:sz w:val="20"/>
                <w:szCs w:val="22"/>
              </w:rPr>
              <w:t>Ag</w:t>
            </w:r>
          </w:p>
        </w:tc>
      </w:tr>
      <w:tr w:rsidR="00112334" w:rsidRPr="00A47168" w14:paraId="1FF0FD79" w14:textId="77777777" w:rsidTr="00354747">
        <w:trPr>
          <w:trHeight w:val="290"/>
        </w:trPr>
        <w:tc>
          <w:tcPr>
            <w:tcW w:w="3024" w:type="dxa"/>
            <w:noWrap/>
            <w:tcMar>
              <w:top w:w="0" w:type="dxa"/>
              <w:left w:w="108" w:type="dxa"/>
              <w:bottom w:w="0" w:type="dxa"/>
              <w:right w:w="108" w:type="dxa"/>
            </w:tcMar>
          </w:tcPr>
          <w:p w14:paraId="6E8DE52B" w14:textId="5FD86133" w:rsidR="00112334" w:rsidRPr="00317B4F" w:rsidRDefault="00112334" w:rsidP="00112334">
            <w:pPr>
              <w:keepNext/>
              <w:spacing w:before="0" w:after="0"/>
              <w:rPr>
                <w:color w:val="000000"/>
                <w:sz w:val="20"/>
              </w:rPr>
            </w:pPr>
            <w:r w:rsidRPr="00CF1DAF">
              <w:rPr>
                <w:rFonts w:cs="Calibri Light"/>
                <w:color w:val="000000"/>
                <w:sz w:val="20"/>
                <w:szCs w:val="22"/>
              </w:rPr>
              <w:t>Add-on equipment</w:t>
            </w:r>
          </w:p>
        </w:tc>
        <w:tc>
          <w:tcPr>
            <w:tcW w:w="3024" w:type="dxa"/>
            <w:noWrap/>
            <w:tcMar>
              <w:top w:w="0" w:type="dxa"/>
              <w:left w:w="108" w:type="dxa"/>
              <w:bottom w:w="0" w:type="dxa"/>
              <w:right w:w="108" w:type="dxa"/>
            </w:tcMar>
            <w:vAlign w:val="bottom"/>
          </w:tcPr>
          <w:p w14:paraId="549D9BEE" w14:textId="5BFB4042" w:rsidR="00112334" w:rsidRPr="00317B4F" w:rsidRDefault="00112334" w:rsidP="00112334">
            <w:pPr>
              <w:keepNext/>
              <w:spacing w:before="0" w:after="0"/>
              <w:rPr>
                <w:color w:val="000000"/>
                <w:sz w:val="20"/>
              </w:rPr>
            </w:pPr>
            <w:proofErr w:type="spellStart"/>
            <w:r w:rsidRPr="00317B4F">
              <w:rPr>
                <w:rFonts w:cs="Calibri Light"/>
                <w:color w:val="000000"/>
                <w:sz w:val="20"/>
                <w:szCs w:val="22"/>
              </w:rPr>
              <w:t>PreRebDown</w:t>
            </w:r>
            <w:proofErr w:type="spellEnd"/>
          </w:p>
        </w:tc>
        <w:tc>
          <w:tcPr>
            <w:tcW w:w="3024" w:type="dxa"/>
            <w:noWrap/>
            <w:tcMar>
              <w:top w:w="0" w:type="dxa"/>
              <w:left w:w="108" w:type="dxa"/>
              <w:bottom w:w="0" w:type="dxa"/>
              <w:right w:w="108" w:type="dxa"/>
            </w:tcMar>
            <w:vAlign w:val="bottom"/>
          </w:tcPr>
          <w:p w14:paraId="3D73D64C" w14:textId="50DCF92B" w:rsidR="00112334" w:rsidRPr="00317B4F" w:rsidRDefault="00112334" w:rsidP="00112334">
            <w:pPr>
              <w:keepNext/>
              <w:spacing w:before="0" w:after="0"/>
              <w:rPr>
                <w:color w:val="000000"/>
                <w:sz w:val="20"/>
              </w:rPr>
            </w:pPr>
            <w:r w:rsidRPr="00317B4F">
              <w:rPr>
                <w:rFonts w:cs="Calibri Light"/>
                <w:color w:val="000000"/>
                <w:sz w:val="20"/>
                <w:szCs w:val="22"/>
              </w:rPr>
              <w:t>Com</w:t>
            </w:r>
          </w:p>
        </w:tc>
      </w:tr>
      <w:tr w:rsidR="00112334" w:rsidRPr="00A47168" w14:paraId="4C13938C" w14:textId="77777777" w:rsidTr="00354747">
        <w:trPr>
          <w:trHeight w:val="290"/>
        </w:trPr>
        <w:tc>
          <w:tcPr>
            <w:tcW w:w="3024" w:type="dxa"/>
            <w:noWrap/>
            <w:tcMar>
              <w:top w:w="0" w:type="dxa"/>
              <w:left w:w="108" w:type="dxa"/>
              <w:bottom w:w="0" w:type="dxa"/>
              <w:right w:w="108" w:type="dxa"/>
            </w:tcMar>
          </w:tcPr>
          <w:p w14:paraId="7B38D8F4" w14:textId="60B29DEA" w:rsidR="00112334" w:rsidRPr="00317B4F" w:rsidRDefault="00112334" w:rsidP="00112334">
            <w:pPr>
              <w:keepNext/>
              <w:spacing w:before="0" w:after="0"/>
              <w:rPr>
                <w:color w:val="000000"/>
                <w:sz w:val="20"/>
              </w:rPr>
            </w:pPr>
            <w:r w:rsidRPr="00CF1DAF">
              <w:rPr>
                <w:rFonts w:cs="Calibri Light"/>
                <w:color w:val="000000"/>
                <w:sz w:val="20"/>
                <w:szCs w:val="22"/>
              </w:rPr>
              <w:t>Add-on equipment</w:t>
            </w:r>
          </w:p>
        </w:tc>
        <w:tc>
          <w:tcPr>
            <w:tcW w:w="3024" w:type="dxa"/>
            <w:noWrap/>
            <w:tcMar>
              <w:top w:w="0" w:type="dxa"/>
              <w:left w:w="108" w:type="dxa"/>
              <w:bottom w:w="0" w:type="dxa"/>
              <w:right w:w="108" w:type="dxa"/>
            </w:tcMar>
            <w:vAlign w:val="bottom"/>
          </w:tcPr>
          <w:p w14:paraId="4EE80C37" w14:textId="399C7DC0" w:rsidR="00112334" w:rsidRPr="00317B4F" w:rsidRDefault="00112334" w:rsidP="00112334">
            <w:pPr>
              <w:keepNext/>
              <w:spacing w:before="0" w:after="0"/>
              <w:rPr>
                <w:color w:val="000000"/>
                <w:sz w:val="20"/>
              </w:rPr>
            </w:pPr>
            <w:proofErr w:type="spellStart"/>
            <w:r w:rsidRPr="00317B4F">
              <w:rPr>
                <w:rFonts w:cs="Calibri Light"/>
                <w:color w:val="000000"/>
                <w:sz w:val="20"/>
                <w:szCs w:val="22"/>
              </w:rPr>
              <w:t>PreRebDown</w:t>
            </w:r>
            <w:proofErr w:type="spellEnd"/>
          </w:p>
        </w:tc>
        <w:tc>
          <w:tcPr>
            <w:tcW w:w="3024" w:type="dxa"/>
            <w:noWrap/>
            <w:tcMar>
              <w:top w:w="0" w:type="dxa"/>
              <w:left w:w="108" w:type="dxa"/>
              <w:bottom w:w="0" w:type="dxa"/>
              <w:right w:w="108" w:type="dxa"/>
            </w:tcMar>
            <w:vAlign w:val="bottom"/>
          </w:tcPr>
          <w:p w14:paraId="37297252" w14:textId="43910C1C" w:rsidR="00112334" w:rsidRPr="00317B4F" w:rsidRDefault="00112334" w:rsidP="00112334">
            <w:pPr>
              <w:keepNext/>
              <w:spacing w:before="0" w:after="0"/>
              <w:rPr>
                <w:color w:val="000000"/>
                <w:sz w:val="20"/>
              </w:rPr>
            </w:pPr>
            <w:r w:rsidRPr="00317B4F">
              <w:rPr>
                <w:rFonts w:cs="Calibri Light"/>
                <w:color w:val="000000"/>
                <w:sz w:val="20"/>
                <w:szCs w:val="22"/>
              </w:rPr>
              <w:t>Ind</w:t>
            </w:r>
          </w:p>
        </w:tc>
      </w:tr>
      <w:tr w:rsidR="00112334" w:rsidRPr="00A47168" w14:paraId="42892C4A" w14:textId="77777777" w:rsidTr="00354747">
        <w:trPr>
          <w:trHeight w:val="290"/>
        </w:trPr>
        <w:tc>
          <w:tcPr>
            <w:tcW w:w="3024" w:type="dxa"/>
            <w:noWrap/>
            <w:tcMar>
              <w:top w:w="0" w:type="dxa"/>
              <w:left w:w="108" w:type="dxa"/>
              <w:bottom w:w="0" w:type="dxa"/>
              <w:right w:w="108" w:type="dxa"/>
            </w:tcMar>
          </w:tcPr>
          <w:p w14:paraId="261040F2" w14:textId="099F2DA8" w:rsidR="00112334" w:rsidRPr="00317B4F" w:rsidRDefault="00112334" w:rsidP="00112334">
            <w:pPr>
              <w:keepNext/>
              <w:spacing w:before="0" w:after="0"/>
              <w:rPr>
                <w:color w:val="000000"/>
                <w:sz w:val="20"/>
              </w:rPr>
            </w:pPr>
            <w:r w:rsidRPr="00CF1DAF">
              <w:rPr>
                <w:rFonts w:cs="Calibri Light"/>
                <w:color w:val="000000"/>
                <w:sz w:val="20"/>
                <w:szCs w:val="22"/>
              </w:rPr>
              <w:t>Add-on equipment</w:t>
            </w:r>
          </w:p>
        </w:tc>
        <w:tc>
          <w:tcPr>
            <w:tcW w:w="3024" w:type="dxa"/>
            <w:noWrap/>
            <w:tcMar>
              <w:top w:w="0" w:type="dxa"/>
              <w:left w:w="108" w:type="dxa"/>
              <w:bottom w:w="0" w:type="dxa"/>
              <w:right w:w="108" w:type="dxa"/>
            </w:tcMar>
            <w:vAlign w:val="bottom"/>
          </w:tcPr>
          <w:p w14:paraId="58984AA5" w14:textId="10A2374C" w:rsidR="00112334" w:rsidRPr="00317B4F" w:rsidRDefault="00112334" w:rsidP="00112334">
            <w:pPr>
              <w:keepNext/>
              <w:spacing w:before="0" w:after="0"/>
              <w:rPr>
                <w:color w:val="000000"/>
                <w:sz w:val="20"/>
              </w:rPr>
            </w:pPr>
            <w:proofErr w:type="spellStart"/>
            <w:r w:rsidRPr="00317B4F">
              <w:rPr>
                <w:rFonts w:cs="Calibri Light"/>
                <w:color w:val="000000"/>
                <w:sz w:val="20"/>
                <w:szCs w:val="22"/>
              </w:rPr>
              <w:t>PreRebDown</w:t>
            </w:r>
            <w:proofErr w:type="spellEnd"/>
          </w:p>
        </w:tc>
        <w:tc>
          <w:tcPr>
            <w:tcW w:w="3024" w:type="dxa"/>
            <w:noWrap/>
            <w:tcMar>
              <w:top w:w="0" w:type="dxa"/>
              <w:left w:w="108" w:type="dxa"/>
              <w:bottom w:w="0" w:type="dxa"/>
              <w:right w:w="108" w:type="dxa"/>
            </w:tcMar>
            <w:vAlign w:val="bottom"/>
          </w:tcPr>
          <w:p w14:paraId="657487C3" w14:textId="3A301814" w:rsidR="00112334" w:rsidRPr="00317B4F" w:rsidRDefault="00112334" w:rsidP="00112334">
            <w:pPr>
              <w:keepNext/>
              <w:spacing w:before="0" w:after="0"/>
              <w:rPr>
                <w:color w:val="000000"/>
                <w:sz w:val="20"/>
              </w:rPr>
            </w:pPr>
            <w:r w:rsidRPr="00317B4F">
              <w:rPr>
                <w:rFonts w:cs="Calibri Light"/>
                <w:color w:val="000000"/>
                <w:sz w:val="20"/>
                <w:szCs w:val="22"/>
              </w:rPr>
              <w:t>Res</w:t>
            </w:r>
          </w:p>
        </w:tc>
      </w:tr>
    </w:tbl>
    <w:p w14:paraId="76E0E32E" w14:textId="77777777" w:rsidR="00317B4F" w:rsidRDefault="00317B4F" w:rsidP="00154391">
      <w:pPr>
        <w:pStyle w:val="eTRMHeading5"/>
      </w:pPr>
    </w:p>
    <w:p w14:paraId="50711562" w14:textId="76D224F6" w:rsidR="00AA46AF" w:rsidRDefault="00196649" w:rsidP="00154391">
      <w:pPr>
        <w:pStyle w:val="eTRMHeading5"/>
      </w:pPr>
      <w:r>
        <w:t>Eligible Products</w:t>
      </w:r>
    </w:p>
    <w:p w14:paraId="74BC0C0F" w14:textId="254CD7BF" w:rsidR="00444A8F" w:rsidRDefault="00444A8F" w:rsidP="00444A8F">
      <w:r>
        <w:t>Existing beverage merchandise coolers must:</w:t>
      </w:r>
    </w:p>
    <w:p w14:paraId="6D278DCA" w14:textId="4FCF3C7A" w:rsidR="00444A8F" w:rsidRPr="006B550E" w:rsidRDefault="00444A8F" w:rsidP="00487071">
      <w:pPr>
        <w:pStyle w:val="eTRMBulletedText"/>
      </w:pPr>
      <w:r w:rsidRPr="006B550E">
        <w:t>Have either glass sliding doors or glass pull-open doors</w:t>
      </w:r>
      <w:r w:rsidR="008C3C3E" w:rsidRPr="006B550E">
        <w:t>.</w:t>
      </w:r>
    </w:p>
    <w:p w14:paraId="21775F6B" w14:textId="6BD2BE7A" w:rsidR="00444A8F" w:rsidRPr="006B550E" w:rsidRDefault="00444A8F">
      <w:pPr>
        <w:pStyle w:val="eTRMBulletedText"/>
      </w:pPr>
      <w:r w:rsidRPr="006B550E">
        <w:t>Have a self-contained condensing unit</w:t>
      </w:r>
      <w:r w:rsidR="008C3C3E" w:rsidRPr="006B550E">
        <w:t>.</w:t>
      </w:r>
    </w:p>
    <w:p w14:paraId="7B944809" w14:textId="48CE3989" w:rsidR="00444A8F" w:rsidRPr="006B550E" w:rsidRDefault="00444A8F">
      <w:pPr>
        <w:pStyle w:val="eTRMBulletedText"/>
      </w:pPr>
      <w:r w:rsidRPr="006B550E">
        <w:t>Be used to maintain temperatures for non-perishable products</w:t>
      </w:r>
      <w:r w:rsidR="008C3C3E" w:rsidRPr="006B550E">
        <w:t>.</w:t>
      </w:r>
    </w:p>
    <w:p w14:paraId="029C7C02" w14:textId="27FD868E" w:rsidR="00444A8F" w:rsidRDefault="00204E38" w:rsidP="00444A8F">
      <w:r>
        <w:t xml:space="preserve">The </w:t>
      </w:r>
      <w:r w:rsidR="004D29B2">
        <w:t>beverage merchandise controller (</w:t>
      </w:r>
      <w:r w:rsidR="00444A8F">
        <w:t>BMC</w:t>
      </w:r>
      <w:r w:rsidR="004D29B2">
        <w:t>)</w:t>
      </w:r>
      <w:r w:rsidR="00444A8F">
        <w:t xml:space="preserve"> must:</w:t>
      </w:r>
    </w:p>
    <w:p w14:paraId="3470ED32" w14:textId="77777777" w:rsidR="00A122D5" w:rsidRDefault="00A122D5" w:rsidP="00A122D5">
      <w:pPr>
        <w:pStyle w:val="eTRMBulletedText"/>
      </w:pPr>
      <w:r>
        <w:t>The controller must turn off the lights and the compressor when the surrounding area is unoccupied for 15 minutes to one hour, or if there is no sales traffic for a given period of time.</w:t>
      </w:r>
    </w:p>
    <w:p w14:paraId="7285179A" w14:textId="688C1CA1" w:rsidR="00444A8F" w:rsidRDefault="00444A8F">
      <w:pPr>
        <w:pStyle w:val="eTRMBulletedText"/>
      </w:pPr>
      <w:r>
        <w:t xml:space="preserve">Periodically power the cooler back on at a maximum increment of every </w:t>
      </w:r>
      <w:r w:rsidR="008C3C3E">
        <w:t>four</w:t>
      </w:r>
      <w:r>
        <w:t xml:space="preserve"> hours to reasonably maintain product temperatures</w:t>
      </w:r>
      <w:r w:rsidR="008C3C3E">
        <w:t>.</w:t>
      </w:r>
    </w:p>
    <w:p w14:paraId="76E756F1" w14:textId="3ADCB25B" w:rsidR="00444A8F" w:rsidRDefault="00444A8F">
      <w:pPr>
        <w:pStyle w:val="eTRMBulletedText"/>
      </w:pPr>
      <w:r>
        <w:t>Be rated for 120 VAC applications</w:t>
      </w:r>
      <w:r w:rsidR="008C3C3E">
        <w:t>.</w:t>
      </w:r>
    </w:p>
    <w:p w14:paraId="23FF6040" w14:textId="767AB7B4" w:rsidR="00444A8F" w:rsidRDefault="000334E5" w:rsidP="00B95791">
      <w:r w:rsidRPr="00A12C8F">
        <w:t xml:space="preserve">Existing </w:t>
      </w:r>
      <w:r w:rsidR="00444A8F" w:rsidRPr="00A12C8F">
        <w:t>cold vending machines ha</w:t>
      </w:r>
      <w:r w:rsidR="0054517C" w:rsidRPr="00A12C8F">
        <w:t>ve</w:t>
      </w:r>
      <w:r w:rsidR="00444A8F" w:rsidRPr="00A12C8F">
        <w:t xml:space="preserve"> the following requirements:</w:t>
      </w:r>
    </w:p>
    <w:p w14:paraId="630894C0" w14:textId="2FE6C721" w:rsidR="00154EE1" w:rsidRDefault="00444A8F" w:rsidP="00487071">
      <w:pPr>
        <w:pStyle w:val="eTRMBulletedText"/>
      </w:pPr>
      <w:r>
        <w:t xml:space="preserve">The refrigerated vending machines must contain only non-perishable bottled and canned beverages. </w:t>
      </w:r>
    </w:p>
    <w:p w14:paraId="24EFAFF9" w14:textId="56A324A5" w:rsidR="000334E5" w:rsidRDefault="00487071" w:rsidP="004D29B2">
      <w:r>
        <w:t>ENERGY STAR qualified machines are not eligible</w:t>
      </w:r>
      <w:r w:rsidR="00022644">
        <w:t xml:space="preserve"> as</w:t>
      </w:r>
      <w:r>
        <w:t xml:space="preserve"> </w:t>
      </w:r>
      <w:r w:rsidR="00022644">
        <w:t xml:space="preserve">ENERGY STAR qualified machines already include a low power mode that is covered by this measure. </w:t>
      </w:r>
    </w:p>
    <w:p w14:paraId="1D62512A" w14:textId="77777777" w:rsidR="002942B0" w:rsidRDefault="002942B0" w:rsidP="002942B0"/>
    <w:p w14:paraId="7CE938DA" w14:textId="2434378C" w:rsidR="007B6A74" w:rsidRPr="00401C43" w:rsidRDefault="007B6A74" w:rsidP="00401C43">
      <w:pPr>
        <w:pStyle w:val="eTRMHeading5"/>
      </w:pPr>
      <w:r w:rsidRPr="00401C43">
        <w:t>Eligible Building Types</w:t>
      </w:r>
      <w:r w:rsidR="00E57AAD">
        <w:t xml:space="preserve"> and Vintages</w:t>
      </w:r>
    </w:p>
    <w:p w14:paraId="517B1A07" w14:textId="5C029FA6" w:rsidR="00571D95" w:rsidRDefault="00A12C8F" w:rsidP="00A66484">
      <w:r>
        <w:t>All measures offerings a</w:t>
      </w:r>
      <w:r w:rsidR="00D15A49">
        <w:t xml:space="preserve">re eligible </w:t>
      </w:r>
      <w:r>
        <w:t>in</w:t>
      </w:r>
      <w:r w:rsidR="00D15A49">
        <w:t xml:space="preserve"> all </w:t>
      </w:r>
      <w:r>
        <w:t xml:space="preserve">existing </w:t>
      </w:r>
      <w:r w:rsidR="00D15A49">
        <w:t>nonresidential building types</w:t>
      </w:r>
      <w:r w:rsidR="00A66484">
        <w:t>, as well as for r</w:t>
      </w:r>
      <w:r w:rsidR="00D15A49">
        <w:t xml:space="preserve">esidential </w:t>
      </w:r>
      <w:r w:rsidR="00A66484">
        <w:t>multifamily,</w:t>
      </w:r>
      <w:r w:rsidR="00D15A49">
        <w:t xml:space="preserve"> and </w:t>
      </w:r>
      <w:r w:rsidR="00A66484">
        <w:t>residential mobile-home and d</w:t>
      </w:r>
      <w:r w:rsidR="00D15A49">
        <w:t>ouble-</w:t>
      </w:r>
      <w:r w:rsidR="00A66484">
        <w:t>w</w:t>
      </w:r>
      <w:r w:rsidR="00D15A49">
        <w:t>ide building types.</w:t>
      </w:r>
    </w:p>
    <w:p w14:paraId="7AA25502" w14:textId="77777777" w:rsidR="00571D95" w:rsidRPr="00571D95" w:rsidRDefault="00571D95" w:rsidP="00571D95"/>
    <w:p w14:paraId="772498C3" w14:textId="77777777" w:rsidR="003E3D2F" w:rsidRDefault="003E3D2F" w:rsidP="00154391">
      <w:pPr>
        <w:pStyle w:val="eTRMHeading5"/>
      </w:pPr>
    </w:p>
    <w:p w14:paraId="1A3705F3" w14:textId="2BA51508" w:rsidR="007B6A74" w:rsidRPr="004B06E3" w:rsidRDefault="00196649" w:rsidP="00154391">
      <w:pPr>
        <w:pStyle w:val="eTRMHeading5"/>
      </w:pPr>
      <w:r>
        <w:t>Eligible Climate Zones</w:t>
      </w:r>
    </w:p>
    <w:p w14:paraId="4A9FD22A" w14:textId="022B8FB7" w:rsidR="004B6780" w:rsidRDefault="004B6780" w:rsidP="004B6780">
      <w:r>
        <w:t xml:space="preserve">This measure is applicable </w:t>
      </w:r>
      <w:r w:rsidR="00A12C8F">
        <w:t>in</w:t>
      </w:r>
      <w:r>
        <w:t xml:space="preserve"> </w:t>
      </w:r>
      <w:r w:rsidR="00BE7DE8">
        <w:t>any</w:t>
      </w:r>
      <w:r>
        <w:t xml:space="preserve"> California climate zone.</w:t>
      </w:r>
    </w:p>
    <w:p w14:paraId="34FF761D" w14:textId="77777777" w:rsidR="006C41AD" w:rsidRPr="004B06E3" w:rsidRDefault="006C41AD" w:rsidP="004B06E3"/>
    <w:p w14:paraId="47630D60" w14:textId="77777777" w:rsidR="007D230B" w:rsidRPr="004B06E3" w:rsidRDefault="007D230B" w:rsidP="004D29B2">
      <w:pPr>
        <w:pStyle w:val="eTRMHeading3"/>
      </w:pPr>
      <w:bookmarkStart w:id="28" w:name="_Toc486490853"/>
      <w:bookmarkStart w:id="29" w:name="_Toc486580924"/>
      <w:bookmarkStart w:id="30" w:name="_Toc529355971"/>
      <w:r w:rsidRPr="004B06E3">
        <w:lastRenderedPageBreak/>
        <w:t>Program Exclusions</w:t>
      </w:r>
      <w:bookmarkEnd w:id="28"/>
      <w:bookmarkEnd w:id="29"/>
      <w:bookmarkEnd w:id="30"/>
      <w:r w:rsidRPr="004B06E3">
        <w:t xml:space="preserve"> </w:t>
      </w:r>
    </w:p>
    <w:p w14:paraId="58015471" w14:textId="224C12C2" w:rsidR="00065E54" w:rsidRDefault="00112334" w:rsidP="00065E54">
      <w:r>
        <w:t>None.</w:t>
      </w:r>
    </w:p>
    <w:p w14:paraId="76A9A64F" w14:textId="77777777" w:rsidR="007B6A74" w:rsidRPr="004B06E3" w:rsidRDefault="007B6A74" w:rsidP="004B06E3"/>
    <w:p w14:paraId="655E299F" w14:textId="77777777" w:rsidR="007D230B" w:rsidRPr="004B06E3" w:rsidRDefault="007D230B" w:rsidP="004D29B2">
      <w:pPr>
        <w:pStyle w:val="eTRMHeading3"/>
      </w:pPr>
      <w:bookmarkStart w:id="31" w:name="_Toc486490854"/>
      <w:bookmarkStart w:id="32" w:name="_Toc486580925"/>
      <w:bookmarkStart w:id="33" w:name="_Toc529355972"/>
      <w:r w:rsidRPr="004B06E3">
        <w:t>Data Collection Requirements</w:t>
      </w:r>
      <w:bookmarkEnd w:id="31"/>
      <w:bookmarkEnd w:id="32"/>
      <w:bookmarkEnd w:id="33"/>
      <w:r w:rsidRPr="004B06E3">
        <w:t xml:space="preserve"> </w:t>
      </w:r>
    </w:p>
    <w:p w14:paraId="49298D4E" w14:textId="3304EFC7" w:rsidR="00750840" w:rsidRDefault="00B9630B" w:rsidP="004B06E3">
      <w:r>
        <w:t>Data collection requirements are to be determined.</w:t>
      </w:r>
    </w:p>
    <w:p w14:paraId="5F6F777D" w14:textId="77777777" w:rsidR="00B9630B" w:rsidRPr="004B06E3" w:rsidRDefault="00B9630B" w:rsidP="004B06E3"/>
    <w:p w14:paraId="4891FCAB" w14:textId="77777777" w:rsidR="007D230B" w:rsidRPr="004B06E3" w:rsidRDefault="007D230B" w:rsidP="004D29B2">
      <w:pPr>
        <w:pStyle w:val="eTRMHeading3"/>
      </w:pPr>
      <w:bookmarkStart w:id="34" w:name="_Toc486490855"/>
      <w:bookmarkStart w:id="35" w:name="_Toc486580926"/>
      <w:bookmarkStart w:id="36" w:name="_Toc529355973"/>
      <w:r w:rsidRPr="004B06E3">
        <w:t>Use Category</w:t>
      </w:r>
      <w:bookmarkEnd w:id="34"/>
      <w:bookmarkEnd w:id="35"/>
      <w:bookmarkEnd w:id="36"/>
    </w:p>
    <w:p w14:paraId="45732C16" w14:textId="5B785918" w:rsidR="004F00D3" w:rsidRPr="00C11F98" w:rsidRDefault="004F00D3" w:rsidP="004F00D3">
      <w:r>
        <w:t>Appliance and plug load</w:t>
      </w:r>
      <w:r w:rsidR="00112334">
        <w:t>s</w:t>
      </w:r>
      <w:r>
        <w:t xml:space="preserve"> (</w:t>
      </w:r>
      <w:proofErr w:type="spellStart"/>
      <w:r>
        <w:t>AppPlug</w:t>
      </w:r>
      <w:proofErr w:type="spellEnd"/>
      <w:r>
        <w:t>)</w:t>
      </w:r>
    </w:p>
    <w:p w14:paraId="13382FF9" w14:textId="77777777" w:rsidR="004142EF" w:rsidRPr="004B06E3" w:rsidRDefault="004142EF" w:rsidP="004B06E3"/>
    <w:p w14:paraId="4B62D367" w14:textId="370A839E" w:rsidR="007D230B" w:rsidRPr="004B06E3" w:rsidRDefault="007D230B" w:rsidP="004D29B2">
      <w:pPr>
        <w:pStyle w:val="eTRMHeading3"/>
      </w:pPr>
      <w:bookmarkStart w:id="37" w:name="_Toc486490857"/>
      <w:bookmarkStart w:id="38" w:name="_Toc486580928"/>
      <w:bookmarkStart w:id="39" w:name="_Toc529355974"/>
      <w:r w:rsidRPr="004B06E3">
        <w:t>Electric Savings</w:t>
      </w:r>
      <w:r w:rsidR="00245AFF" w:rsidRPr="004B06E3">
        <w:t xml:space="preserve"> (</w:t>
      </w:r>
      <w:r w:rsidR="00E14349" w:rsidRPr="00B9630B">
        <w:rPr>
          <w:caps w:val="0"/>
        </w:rPr>
        <w:t>k</w:t>
      </w:r>
      <w:r w:rsidR="00245AFF" w:rsidRPr="00B9630B">
        <w:rPr>
          <w:caps w:val="0"/>
        </w:rPr>
        <w:t>Wh</w:t>
      </w:r>
      <w:r w:rsidR="00245AFF" w:rsidRPr="004B06E3">
        <w:t>)</w:t>
      </w:r>
      <w:bookmarkEnd w:id="37"/>
      <w:bookmarkEnd w:id="38"/>
      <w:bookmarkEnd w:id="39"/>
    </w:p>
    <w:p w14:paraId="26D05B1D" w14:textId="6B1E6A4C" w:rsidR="00C50011" w:rsidRDefault="00354747" w:rsidP="00C50011">
      <w:r>
        <w:t xml:space="preserve">The electric unit energy savings (UES) </w:t>
      </w:r>
      <w:r w:rsidR="00C50011">
        <w:t xml:space="preserve">from the installation of vending machine controller (VMC) or a beverage merchandise controller (BMC) </w:t>
      </w:r>
      <w:r>
        <w:t xml:space="preserve">is </w:t>
      </w:r>
      <w:r w:rsidR="0060304D">
        <w:t xml:space="preserve">equal to the sum </w:t>
      </w:r>
      <w:r w:rsidR="00C50011">
        <w:t xml:space="preserve">of the reduced </w:t>
      </w:r>
      <w:r w:rsidR="0016009B">
        <w:t>energy use</w:t>
      </w:r>
      <w:r w:rsidR="00C50011">
        <w:t xml:space="preserve"> as a result of 1) reduced lighting use from turning off interior and backlit display lights, reduced refrigeration time for refrigerated beverage vending machines, and 3) reduced </w:t>
      </w:r>
      <w:r w:rsidR="00C50011" w:rsidRPr="00ED4F4B">
        <w:t>refrigeration time for commercial refrigerators, commercial refrigerator-freezers, and commercial freezers</w:t>
      </w:r>
      <w:r w:rsidR="00C50011">
        <w:t>.</w:t>
      </w:r>
      <w:r w:rsidR="00C50011" w:rsidRPr="00C50011">
        <w:t xml:space="preserve"> </w:t>
      </w:r>
      <w:r w:rsidR="00C50011" w:rsidRPr="00C50011">
        <w:rPr>
          <w:i/>
        </w:rPr>
        <w:t>Note that any one particular controller may not exhibit all of these characteristics.</w:t>
      </w:r>
    </w:p>
    <w:p w14:paraId="0CF68552" w14:textId="408027BD" w:rsidR="004D29B2" w:rsidRDefault="004D29B2" w:rsidP="004D29B2"/>
    <w:p w14:paraId="664DE0E8" w14:textId="6D501509" w:rsidR="009A6329" w:rsidRPr="00FF760A" w:rsidRDefault="00254D65" w:rsidP="0050633F">
      <w:pPr>
        <w:pStyle w:val="BodyText"/>
        <w:rPr>
          <w:b/>
        </w:rPr>
      </w:pPr>
      <m:oMathPara>
        <m:oMathParaPr>
          <m:jc m:val="left"/>
        </m:oMathParaPr>
        <m:oMath>
          <m:sSub>
            <m:sSubPr>
              <m:ctrlPr/>
            </m:sSubPr>
            <m:e>
              <m:r>
                <m:t>UES</m:t>
              </m:r>
            </m:e>
            <m:sub>
              <m:r>
                <m:t>Total</m:t>
              </m:r>
            </m:sub>
          </m:sSub>
          <m:r>
            <m:t>=</m:t>
          </m:r>
          <m:sSub>
            <m:sSubPr>
              <m:ctrlPr/>
            </m:sSubPr>
            <m:e>
              <m:r>
                <m:t>UES</m:t>
              </m:r>
            </m:e>
            <m:sub>
              <m:r>
                <m:t>ltg</m:t>
              </m:r>
            </m:sub>
          </m:sSub>
          <m:r>
            <m:t>+</m:t>
          </m:r>
          <m:sSub>
            <m:sSubPr>
              <m:ctrlPr/>
            </m:sSubPr>
            <m:e>
              <m:r>
                <m:t>UES</m:t>
              </m:r>
            </m:e>
            <m:sub>
              <m:r>
                <m:t>ref BMC</m:t>
              </m:r>
            </m:sub>
          </m:sSub>
          <m:r>
            <m:t>+</m:t>
          </m:r>
          <m:sSub>
            <m:sSubPr>
              <m:ctrlPr/>
            </m:sSubPr>
            <m:e>
              <m:r>
                <m:t>UES</m:t>
              </m:r>
            </m:e>
            <m:sub>
              <m:r>
                <m:t>ref app</m:t>
              </m:r>
            </m:sub>
          </m:sSub>
        </m:oMath>
      </m:oMathPara>
    </w:p>
    <w:p w14:paraId="0747533A" w14:textId="48A58450" w:rsidR="004D29B2" w:rsidRDefault="004D29B2" w:rsidP="00A66484"/>
    <w:p w14:paraId="1F5CB8F4" w14:textId="444DF8CF" w:rsidR="008C4E72" w:rsidRPr="007D7024" w:rsidRDefault="00405B5B" w:rsidP="00112334">
      <w:pPr>
        <w:pStyle w:val="eTRMHeading4"/>
      </w:pPr>
      <w:r>
        <w:t>R</w:t>
      </w:r>
      <w:r w:rsidR="008C4E72" w:rsidRPr="007D7024">
        <w:t xml:space="preserve">eduction </w:t>
      </w:r>
      <w:r>
        <w:t>of L</w:t>
      </w:r>
      <w:r w:rsidR="008C4E72" w:rsidRPr="007D7024">
        <w:t xml:space="preserve">ighting </w:t>
      </w:r>
      <w:r>
        <w:t>Use by Turning Off Interior and Backlit Display Lights</w:t>
      </w:r>
    </w:p>
    <w:p w14:paraId="77B871F0" w14:textId="6B15EB3D" w:rsidR="008C4E72" w:rsidRDefault="00157BEA" w:rsidP="00A66484">
      <w:r w:rsidRPr="008C4E72">
        <w:t xml:space="preserve">In </w:t>
      </w:r>
      <w:r>
        <w:t xml:space="preserve">an </w:t>
      </w:r>
      <w:r w:rsidRPr="008C4E72">
        <w:t xml:space="preserve">uncooled snack vending machines, a display light typically illuminates the products inside the vending machine. </w:t>
      </w:r>
      <w:r w:rsidR="00FC383A">
        <w:t>The savings for occupancy-</w:t>
      </w:r>
      <w:r w:rsidR="00FC383A" w:rsidRPr="008C4E72">
        <w:t xml:space="preserve">based vending </w:t>
      </w:r>
      <w:r w:rsidR="00FC383A">
        <w:t xml:space="preserve">machine </w:t>
      </w:r>
      <w:r w:rsidR="00FC383A" w:rsidRPr="008C4E72">
        <w:t>control</w:t>
      </w:r>
      <w:r w:rsidR="00FC383A">
        <w:t>ler</w:t>
      </w:r>
      <w:r w:rsidR="00FC383A" w:rsidRPr="008C4E72">
        <w:t xml:space="preserve"> will occur in a load profile complimentary to an </w:t>
      </w:r>
      <w:r w:rsidR="006B550E">
        <w:t xml:space="preserve">8760 </w:t>
      </w:r>
      <w:r w:rsidR="006B550E" w:rsidRPr="008C4E72">
        <w:t>load</w:t>
      </w:r>
      <w:r w:rsidR="00FC383A" w:rsidRPr="008C4E72">
        <w:t xml:space="preserve"> shape</w:t>
      </w:r>
      <w:r w:rsidR="00FC383A">
        <w:t xml:space="preserve">, as represented </w:t>
      </w:r>
      <w:r w:rsidR="00112334">
        <w:t>by the following calculation</w:t>
      </w:r>
      <w:r w:rsidR="00FC383A" w:rsidRPr="008C4E72">
        <w:t>.</w:t>
      </w:r>
      <w:r w:rsidR="00FC383A">
        <w:t xml:space="preserve"> </w:t>
      </w:r>
      <w:r>
        <w:t xml:space="preserve">The savings are a function of the hours that the controller turns off the equipment and the wattage of the controlled light fixtures. </w:t>
      </w:r>
    </w:p>
    <w:p w14:paraId="2801B27D" w14:textId="25319873" w:rsidR="000202D0" w:rsidRPr="00FF760A" w:rsidRDefault="00254D65" w:rsidP="0050633F">
      <w:pPr>
        <w:pStyle w:val="BodyText"/>
        <w:rPr>
          <w:b/>
        </w:rPr>
      </w:pPr>
      <m:oMathPara>
        <m:oMathParaPr>
          <m:jc m:val="left"/>
        </m:oMathParaPr>
        <m:oMath>
          <m:sSub>
            <m:sSubPr>
              <m:ctrlPr/>
            </m:sSubPr>
            <m:e>
              <m:r>
                <m:t>UES</m:t>
              </m:r>
            </m:e>
            <m:sub>
              <m:r>
                <m:t>ltg</m:t>
              </m:r>
            </m:sub>
          </m:sSub>
          <m:r>
            <m:t>=</m:t>
          </m:r>
          <m:d>
            <m:dPr>
              <m:ctrlPr/>
            </m:dPr>
            <m:e>
              <m:r>
                <m:t xml:space="preserve">8,760 </m:t>
              </m:r>
              <m:r>
                <m:t>hrs-EFLH</m:t>
              </m:r>
            </m:e>
          </m:d>
          <m:r>
            <m:t>×W</m:t>
          </m:r>
        </m:oMath>
      </m:oMathPara>
    </w:p>
    <w:p w14:paraId="70286738" w14:textId="6B4FB4D2" w:rsidR="00157BEA" w:rsidRPr="00157BEA" w:rsidRDefault="007E2A3B" w:rsidP="005A5A21">
      <w:pPr>
        <w:spacing w:before="20" w:after="20"/>
        <w:ind w:left="1440"/>
        <w:rPr>
          <w:rFonts w:ascii="Cambria Math" w:hAnsi="Cambria Math"/>
          <w:i/>
          <w:sz w:val="18"/>
        </w:rPr>
      </w:pPr>
      <w:proofErr w:type="spellStart"/>
      <w:r>
        <w:rPr>
          <w:rFonts w:ascii="Cambria Math" w:hAnsi="Cambria Math"/>
          <w:i/>
          <w:sz w:val="18"/>
        </w:rPr>
        <w:t>U</w:t>
      </w:r>
      <w:r w:rsidR="00157BEA" w:rsidRPr="00157BEA">
        <w:rPr>
          <w:rFonts w:ascii="Cambria Math" w:hAnsi="Cambria Math"/>
          <w:i/>
          <w:sz w:val="18"/>
        </w:rPr>
        <w:t>ES</w:t>
      </w:r>
      <w:r w:rsidR="00157BEA" w:rsidRPr="00157BEA">
        <w:rPr>
          <w:rFonts w:ascii="Cambria Math" w:hAnsi="Cambria Math"/>
          <w:i/>
          <w:sz w:val="18"/>
          <w:vertAlign w:val="subscript"/>
        </w:rPr>
        <w:t>l</w:t>
      </w:r>
      <w:r w:rsidR="00157BEA" w:rsidRPr="006B550E">
        <w:rPr>
          <w:rFonts w:ascii="Cambria Math" w:hAnsi="Cambria Math"/>
          <w:i/>
          <w:sz w:val="18"/>
          <w:vertAlign w:val="subscript"/>
        </w:rPr>
        <w:t>tg</w:t>
      </w:r>
      <w:proofErr w:type="spellEnd"/>
      <w:r w:rsidR="00157BEA" w:rsidRPr="006B550E">
        <w:rPr>
          <w:rFonts w:ascii="Cambria Math" w:hAnsi="Cambria Math"/>
          <w:i/>
          <w:sz w:val="18"/>
          <w:vertAlign w:val="subscript"/>
        </w:rPr>
        <w:t xml:space="preserve"> </w:t>
      </w:r>
      <w:r w:rsidR="00157BEA" w:rsidRPr="00157BEA">
        <w:rPr>
          <w:rFonts w:ascii="Cambria Math" w:hAnsi="Cambria Math"/>
          <w:i/>
          <w:sz w:val="18"/>
        </w:rPr>
        <w:t xml:space="preserve">= </w:t>
      </w:r>
      <w:r w:rsidR="00157BEA" w:rsidRPr="00157BEA">
        <w:rPr>
          <w:rFonts w:ascii="Cambria Math" w:hAnsi="Cambria Math"/>
          <w:i/>
          <w:sz w:val="18"/>
        </w:rPr>
        <w:tab/>
      </w:r>
      <w:r>
        <w:rPr>
          <w:rFonts w:ascii="Cambria Math" w:hAnsi="Cambria Math"/>
          <w:i/>
          <w:sz w:val="18"/>
        </w:rPr>
        <w:t>Annual e</w:t>
      </w:r>
      <w:r w:rsidR="00157BEA" w:rsidRPr="00157BEA">
        <w:rPr>
          <w:rFonts w:ascii="Cambria Math" w:hAnsi="Cambria Math"/>
          <w:i/>
          <w:sz w:val="18"/>
        </w:rPr>
        <w:t>nergy savings due to reduction of interior and backlit display lighting hours (kWh)</w:t>
      </w:r>
    </w:p>
    <w:p w14:paraId="70298717" w14:textId="7939F79C" w:rsidR="00157BEA" w:rsidRPr="00157BEA" w:rsidRDefault="00157BEA" w:rsidP="005A5A21">
      <w:pPr>
        <w:spacing w:before="20" w:after="20"/>
        <w:ind w:left="1440"/>
        <w:rPr>
          <w:rFonts w:ascii="Cambria Math" w:hAnsi="Cambria Math"/>
          <w:i/>
          <w:sz w:val="18"/>
        </w:rPr>
      </w:pPr>
      <w:r w:rsidRPr="00157BEA">
        <w:rPr>
          <w:rFonts w:ascii="Cambria Math" w:hAnsi="Cambria Math"/>
          <w:i/>
          <w:sz w:val="18"/>
        </w:rPr>
        <w:t xml:space="preserve">EFLH = </w:t>
      </w:r>
      <w:r w:rsidRPr="00157BEA">
        <w:rPr>
          <w:rFonts w:ascii="Cambria Math" w:hAnsi="Cambria Math"/>
          <w:i/>
          <w:sz w:val="18"/>
        </w:rPr>
        <w:tab/>
        <w:t>Effective full load hours (hours)</w:t>
      </w:r>
    </w:p>
    <w:p w14:paraId="5D47673F" w14:textId="5655BB3F" w:rsidR="00157BEA" w:rsidRPr="00157BEA" w:rsidRDefault="00157BEA" w:rsidP="005A5A21">
      <w:pPr>
        <w:spacing w:before="20" w:after="20"/>
        <w:ind w:left="1440"/>
        <w:rPr>
          <w:rFonts w:ascii="Cambria Math" w:hAnsi="Cambria Math"/>
          <w:i/>
          <w:sz w:val="18"/>
        </w:rPr>
      </w:pPr>
      <w:r w:rsidRPr="00157BEA">
        <w:rPr>
          <w:rFonts w:ascii="Cambria Math" w:hAnsi="Cambria Math"/>
          <w:i/>
          <w:sz w:val="18"/>
        </w:rPr>
        <w:t xml:space="preserve">W = </w:t>
      </w:r>
      <w:r w:rsidRPr="00157BEA">
        <w:rPr>
          <w:rFonts w:ascii="Cambria Math" w:hAnsi="Cambria Math"/>
          <w:i/>
          <w:sz w:val="18"/>
        </w:rPr>
        <w:tab/>
        <w:t>Controlled fixture wattage (W)</w:t>
      </w:r>
    </w:p>
    <w:p w14:paraId="26EAC1C6" w14:textId="77777777" w:rsidR="00157BEA" w:rsidRDefault="00157BEA" w:rsidP="00836BD3"/>
    <w:p w14:paraId="1D61E1D5" w14:textId="17301EA3" w:rsidR="00157BEA" w:rsidRDefault="00157BEA" w:rsidP="00157BEA">
      <w:r>
        <w:t>The hours that the controller turns off the equipment is represented by t</w:t>
      </w:r>
      <w:r w:rsidRPr="00D005CF">
        <w:t xml:space="preserve">he </w:t>
      </w:r>
      <w:r w:rsidRPr="00C14827">
        <w:t>effective full load operating hours</w:t>
      </w:r>
      <w:r w:rsidRPr="00C14827">
        <w:rPr>
          <w:rStyle w:val="FootnoteReference"/>
        </w:rPr>
        <w:footnoteReference w:id="4"/>
      </w:r>
      <w:r w:rsidRPr="00D005CF">
        <w:t xml:space="preserve"> (EFLHs)</w:t>
      </w:r>
      <w:r>
        <w:t xml:space="preserve">, or the hours </w:t>
      </w:r>
      <w:r w:rsidRPr="008C4E72">
        <w:t>when the building is occu</w:t>
      </w:r>
      <w:r>
        <w:t xml:space="preserve">pied. </w:t>
      </w:r>
      <w:r w:rsidRPr="008C4E72">
        <w:t xml:space="preserve">For example, in a small office the </w:t>
      </w:r>
      <w:r>
        <w:t>EFLH</w:t>
      </w:r>
      <w:r w:rsidRPr="008C4E72">
        <w:t xml:space="preserve"> is </w:t>
      </w:r>
      <w:r w:rsidR="002D1F89">
        <w:t>1,760</w:t>
      </w:r>
      <w:r w:rsidRPr="008C4E72">
        <w:t xml:space="preserve"> hours</w:t>
      </w:r>
      <w:r>
        <w:t>;</w:t>
      </w:r>
      <w:r w:rsidRPr="008C4E72">
        <w:t xml:space="preserve"> </w:t>
      </w:r>
      <w:r w:rsidR="006B550E" w:rsidRPr="008C4E72">
        <w:t>therefore,</w:t>
      </w:r>
      <w:r w:rsidRPr="008C4E72">
        <w:t xml:space="preserve"> the time the </w:t>
      </w:r>
      <w:r>
        <w:t>VMC</w:t>
      </w:r>
      <w:r w:rsidRPr="008C4E72">
        <w:t xml:space="preserve"> would turn the </w:t>
      </w:r>
      <w:r>
        <w:t>interior and backlit display</w:t>
      </w:r>
      <w:r w:rsidRPr="008C4E72">
        <w:t xml:space="preserve"> lights off would be 8,760 hours minus </w:t>
      </w:r>
      <w:r w:rsidR="002D1F89">
        <w:t>1,760</w:t>
      </w:r>
      <w:r w:rsidRPr="008C4E72">
        <w:t xml:space="preserve"> hours, resulting in </w:t>
      </w:r>
      <w:r w:rsidR="00C4400A">
        <w:t>7,000</w:t>
      </w:r>
      <w:r w:rsidRPr="008C4E72">
        <w:t xml:space="preserve"> hours of off time. </w:t>
      </w:r>
      <w:r>
        <w:t xml:space="preserve"> </w:t>
      </w:r>
    </w:p>
    <w:p w14:paraId="56B557FF" w14:textId="54CAFBC9" w:rsidR="00F07447" w:rsidRDefault="00942753" w:rsidP="00F07447">
      <w:r w:rsidRPr="003E3D2F">
        <w:rPr>
          <w:rFonts w:cs="Calibri Light"/>
          <w:color w:val="201F1E"/>
          <w:shd w:val="clear" w:color="auto" w:fill="FFFFFF"/>
        </w:rPr>
        <w:lastRenderedPageBreak/>
        <w:t xml:space="preserve">A </w:t>
      </w:r>
      <w:r>
        <w:rPr>
          <w:rFonts w:cs="Calibri Light"/>
          <w:color w:val="201F1E"/>
          <w:shd w:val="clear" w:color="auto" w:fill="FFFFFF"/>
        </w:rPr>
        <w:t xml:space="preserve">total of 17 beverage machine manufacturers and distributors were contacted, but </w:t>
      </w:r>
      <w:r w:rsidRPr="003E3D2F">
        <w:rPr>
          <w:rFonts w:cs="Calibri Light"/>
          <w:color w:val="201F1E"/>
          <w:shd w:val="clear" w:color="auto" w:fill="FFFFFF"/>
        </w:rPr>
        <w:t>we didn't receive a good response</w:t>
      </w:r>
      <w:r>
        <w:rPr>
          <w:rFonts w:cs="Calibri Light"/>
          <w:color w:val="201F1E"/>
          <w:shd w:val="clear" w:color="auto" w:fill="FFFFFF"/>
        </w:rPr>
        <w:t xml:space="preserve">. To confirm that LED is the baseline lighting technology for these Merchandising Systems, the </w:t>
      </w:r>
      <w:r w:rsidRPr="003E3D2F">
        <w:rPr>
          <w:rFonts w:cs="Calibri Light"/>
          <w:color w:val="201F1E"/>
          <w:shd w:val="clear" w:color="auto" w:fill="FFFFFF"/>
        </w:rPr>
        <w:t>A</w:t>
      </w:r>
      <w:r>
        <w:rPr>
          <w:rFonts w:cs="Calibri Light"/>
          <w:color w:val="201F1E"/>
          <w:shd w:val="clear" w:color="auto" w:fill="FFFFFF"/>
        </w:rPr>
        <w:t xml:space="preserve">utomated </w:t>
      </w:r>
      <w:r w:rsidRPr="003E3D2F">
        <w:rPr>
          <w:rFonts w:cs="Calibri Light"/>
          <w:color w:val="201F1E"/>
          <w:shd w:val="clear" w:color="auto" w:fill="FFFFFF"/>
        </w:rPr>
        <w:t>M</w:t>
      </w:r>
      <w:r>
        <w:rPr>
          <w:rFonts w:cs="Calibri Light"/>
          <w:color w:val="201F1E"/>
          <w:shd w:val="clear" w:color="auto" w:fill="FFFFFF"/>
        </w:rPr>
        <w:t xml:space="preserve">erchandising </w:t>
      </w:r>
      <w:r w:rsidRPr="003E3D2F">
        <w:rPr>
          <w:rFonts w:cs="Calibri Light"/>
          <w:color w:val="201F1E"/>
          <w:shd w:val="clear" w:color="auto" w:fill="FFFFFF"/>
        </w:rPr>
        <w:t>S</w:t>
      </w:r>
      <w:r>
        <w:rPr>
          <w:rFonts w:cs="Calibri Light"/>
          <w:color w:val="201F1E"/>
          <w:shd w:val="clear" w:color="auto" w:fill="FFFFFF"/>
        </w:rPr>
        <w:t xml:space="preserve">ystems Inc of Kearneysville, WV </w:t>
      </w:r>
      <w:r w:rsidRPr="003E3D2F">
        <w:rPr>
          <w:rFonts w:cs="Calibri Light"/>
          <w:color w:val="201F1E"/>
          <w:shd w:val="clear" w:color="auto" w:fill="FFFFFF"/>
        </w:rPr>
        <w:t>was</w:t>
      </w:r>
      <w:r>
        <w:rPr>
          <w:rFonts w:cs="Calibri Light"/>
          <w:color w:val="201F1E"/>
          <w:shd w:val="clear" w:color="auto" w:fill="FFFFFF"/>
        </w:rPr>
        <w:t xml:space="preserve"> contacted, and it was confirmed that LED is standard across </w:t>
      </w:r>
      <w:r w:rsidRPr="003E3D2F">
        <w:rPr>
          <w:rFonts w:cs="Calibri Light"/>
          <w:color w:val="201F1E"/>
          <w:shd w:val="clear" w:color="auto" w:fill="FFFFFF"/>
        </w:rPr>
        <w:t>their</w:t>
      </w:r>
      <w:r>
        <w:rPr>
          <w:rFonts w:cs="Calibri Light"/>
          <w:color w:val="201F1E"/>
          <w:shd w:val="clear" w:color="auto" w:fill="FFFFFF"/>
        </w:rPr>
        <w:t xml:space="preserve"> entire product line and has been for years. </w:t>
      </w:r>
      <w:r w:rsidRPr="003E3D2F">
        <w:rPr>
          <w:rFonts w:cs="Calibri Light"/>
          <w:color w:val="201F1E"/>
          <w:shd w:val="clear" w:color="auto" w:fill="FFFFFF"/>
        </w:rPr>
        <w:t>Additionally, a web scraping was conducted on major online retailers and all the automatic beverage merchandisers were found to be equipped with LED lighting</w:t>
      </w:r>
      <w:r>
        <w:rPr>
          <w:rFonts w:cs="Calibri Light"/>
          <w:color w:val="201F1E"/>
          <w:shd w:val="clear" w:color="auto" w:fill="FFFFFF"/>
        </w:rPr>
        <w:t>.</w:t>
      </w:r>
      <w:r w:rsidR="003E3D2F" w:rsidRPr="003E3D2F">
        <w:rPr>
          <w:rStyle w:val="FootnoteReference"/>
        </w:rPr>
        <w:t xml:space="preserve"> </w:t>
      </w:r>
      <w:r w:rsidR="003E3D2F">
        <w:rPr>
          <w:rStyle w:val="FootnoteReference"/>
        </w:rPr>
        <w:footnoteReference w:id="5"/>
      </w:r>
      <w:r>
        <w:rPr>
          <w:rFonts w:cs="Calibri Light"/>
          <w:color w:val="201F1E"/>
          <w:shd w:val="clear" w:color="auto" w:fill="FFFFFF"/>
        </w:rPr>
        <w:t xml:space="preserve"> </w:t>
      </w:r>
      <w:r w:rsidRPr="003E3D2F">
        <w:rPr>
          <w:rFonts w:cs="Calibri Light"/>
          <w:color w:val="201F1E"/>
          <w:shd w:val="clear" w:color="auto" w:fill="FFFFFF"/>
        </w:rPr>
        <w:t>Also, according to the Federal Register</w:t>
      </w:r>
      <w:r>
        <w:rPr>
          <w:rFonts w:cs="Calibri Light"/>
          <w:color w:val="201F1E"/>
          <w:shd w:val="clear" w:color="auto" w:fill="FFFFFF"/>
        </w:rPr>
        <w:t>, Volume 81, No. 5, the DOE notes that a comment from Royal Vendors, a global vending machine manufacturer and supplier, states that LED lighting is used to meet the current Federal standards</w:t>
      </w:r>
      <w:r w:rsidR="003E3D2F">
        <w:rPr>
          <w:rFonts w:cs="Calibri Light"/>
          <w:color w:val="201F1E"/>
          <w:shd w:val="clear" w:color="auto" w:fill="FFFFFF"/>
        </w:rPr>
        <w:t>.</w:t>
      </w:r>
      <w:r w:rsidR="003E3D2F" w:rsidRPr="003E3D2F">
        <w:rPr>
          <w:rStyle w:val="FootnoteReference"/>
        </w:rPr>
        <w:t xml:space="preserve"> </w:t>
      </w:r>
      <w:r w:rsidR="003E3D2F">
        <w:rPr>
          <w:rStyle w:val="FootnoteReference"/>
        </w:rPr>
        <w:footnoteReference w:id="6"/>
      </w:r>
      <w:r w:rsidRPr="00942753">
        <w:rPr>
          <w:rStyle w:val="FootnoteReference"/>
        </w:rPr>
        <w:t xml:space="preserve"> </w:t>
      </w:r>
      <w:r w:rsidR="00F07447" w:rsidRPr="008C4E72">
        <w:t xml:space="preserve">The </w:t>
      </w:r>
      <w:r w:rsidR="00F07447">
        <w:t xml:space="preserve">inputs and assumptions for the calculation of </w:t>
      </w:r>
      <w:r w:rsidR="00F07447" w:rsidRPr="008C4E72">
        <w:t xml:space="preserve">energy savings calculations are </w:t>
      </w:r>
      <w:r w:rsidR="00112334">
        <w:t>specified below</w:t>
      </w:r>
      <w:r w:rsidR="00F07447" w:rsidRPr="008C4E72">
        <w:t>.</w:t>
      </w:r>
    </w:p>
    <w:p w14:paraId="05FDA64F" w14:textId="42EE7AF8" w:rsidR="00F07447" w:rsidRDefault="00F07447" w:rsidP="006B6484">
      <w:pPr>
        <w:pStyle w:val="Caption"/>
      </w:pPr>
      <w:r>
        <w:t xml:space="preserve">Energy Savings Input Parameters for </w:t>
      </w:r>
      <w:r w:rsidR="00E86C4E">
        <w:t>Reduced Interior and Backlit Display Lighting Usage</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2941"/>
        <w:gridCol w:w="1652"/>
        <w:gridCol w:w="4757"/>
      </w:tblGrid>
      <w:tr w:rsidR="00FC383A" w:rsidRPr="00CA53C8" w14:paraId="5785589E" w14:textId="77777777" w:rsidTr="00FC383A">
        <w:trPr>
          <w:cantSplit/>
          <w:trHeight w:val="20"/>
          <w:tblHeader/>
        </w:trPr>
        <w:tc>
          <w:tcPr>
            <w:tcW w:w="2941" w:type="dxa"/>
            <w:shd w:val="clear" w:color="auto" w:fill="F2F2F2" w:themeFill="background1" w:themeFillShade="F2"/>
            <w:vAlign w:val="bottom"/>
          </w:tcPr>
          <w:p w14:paraId="7F4518A7" w14:textId="77777777" w:rsidR="00FC383A" w:rsidRPr="00CA53C8" w:rsidRDefault="00FC383A" w:rsidP="00372B3A">
            <w:pPr>
              <w:keepNext/>
              <w:keepLines/>
              <w:spacing w:before="20" w:after="20" w:line="220" w:lineRule="exact"/>
              <w:rPr>
                <w:rFonts w:cstheme="minorHAnsi"/>
                <w:b/>
                <w:sz w:val="20"/>
                <w:szCs w:val="20"/>
              </w:rPr>
            </w:pPr>
            <w:r>
              <w:rPr>
                <w:rFonts w:cstheme="minorHAnsi"/>
                <w:b/>
                <w:sz w:val="20"/>
                <w:szCs w:val="20"/>
              </w:rPr>
              <w:t>Parameter</w:t>
            </w:r>
          </w:p>
        </w:tc>
        <w:tc>
          <w:tcPr>
            <w:tcW w:w="1652" w:type="dxa"/>
            <w:shd w:val="clear" w:color="auto" w:fill="F2F2F2" w:themeFill="background1" w:themeFillShade="F2"/>
            <w:vAlign w:val="bottom"/>
          </w:tcPr>
          <w:p w14:paraId="731F96AC" w14:textId="30E27E2C" w:rsidR="00FC383A" w:rsidRPr="00CA53C8" w:rsidRDefault="00FC383A" w:rsidP="00372B3A">
            <w:pPr>
              <w:keepNext/>
              <w:keepLines/>
              <w:spacing w:before="20" w:after="20" w:line="220" w:lineRule="exact"/>
              <w:jc w:val="center"/>
              <w:rPr>
                <w:rFonts w:cstheme="minorHAnsi"/>
                <w:b/>
                <w:sz w:val="20"/>
                <w:szCs w:val="20"/>
              </w:rPr>
            </w:pPr>
            <w:r>
              <w:rPr>
                <w:rFonts w:cstheme="minorHAnsi"/>
                <w:b/>
                <w:sz w:val="20"/>
                <w:szCs w:val="20"/>
              </w:rPr>
              <w:t>Value</w:t>
            </w:r>
          </w:p>
        </w:tc>
        <w:tc>
          <w:tcPr>
            <w:tcW w:w="4757" w:type="dxa"/>
            <w:shd w:val="clear" w:color="auto" w:fill="F2F2F2" w:themeFill="background1" w:themeFillShade="F2"/>
            <w:vAlign w:val="bottom"/>
          </w:tcPr>
          <w:p w14:paraId="1DE439AD" w14:textId="77777777" w:rsidR="00FC383A" w:rsidRDefault="00FC383A" w:rsidP="00372B3A">
            <w:pPr>
              <w:keepNext/>
              <w:keepLines/>
              <w:spacing w:before="20" w:after="20" w:line="220" w:lineRule="exact"/>
              <w:jc w:val="center"/>
              <w:rPr>
                <w:rFonts w:cstheme="minorHAnsi"/>
                <w:b/>
                <w:sz w:val="20"/>
                <w:szCs w:val="20"/>
              </w:rPr>
            </w:pPr>
            <w:r>
              <w:rPr>
                <w:rFonts w:cstheme="minorHAnsi"/>
                <w:b/>
                <w:sz w:val="20"/>
                <w:szCs w:val="20"/>
              </w:rPr>
              <w:t>Source</w:t>
            </w:r>
          </w:p>
        </w:tc>
      </w:tr>
      <w:tr w:rsidR="00FC383A" w:rsidRPr="00157BEA" w14:paraId="517266CD" w14:textId="77777777" w:rsidTr="00FC383A">
        <w:trPr>
          <w:cantSplit/>
          <w:trHeight w:val="278"/>
        </w:trPr>
        <w:tc>
          <w:tcPr>
            <w:tcW w:w="2941" w:type="dxa"/>
            <w:vAlign w:val="center"/>
          </w:tcPr>
          <w:p w14:paraId="31A59D23" w14:textId="0A13F272" w:rsidR="00FC383A" w:rsidRPr="00157BEA" w:rsidRDefault="00FC383A" w:rsidP="00372B3A">
            <w:pPr>
              <w:keepNext/>
              <w:keepLines/>
              <w:spacing w:before="20" w:after="20" w:line="220" w:lineRule="exact"/>
              <w:rPr>
                <w:rFonts w:cstheme="minorHAnsi"/>
                <w:sz w:val="20"/>
                <w:szCs w:val="20"/>
              </w:rPr>
            </w:pPr>
            <w:r w:rsidRPr="00157BEA">
              <w:rPr>
                <w:sz w:val="20"/>
                <w:szCs w:val="20"/>
              </w:rPr>
              <w:t>Effective full load operating hours (EFLH)</w:t>
            </w:r>
          </w:p>
        </w:tc>
        <w:tc>
          <w:tcPr>
            <w:tcW w:w="1652" w:type="dxa"/>
            <w:vAlign w:val="center"/>
          </w:tcPr>
          <w:p w14:paraId="7EF78724" w14:textId="01BC84E4" w:rsidR="00FC383A" w:rsidRPr="003E3D2F" w:rsidRDefault="00FC383A" w:rsidP="00372B3A">
            <w:pPr>
              <w:keepNext/>
              <w:keepLines/>
              <w:spacing w:before="20" w:after="20" w:line="220" w:lineRule="exact"/>
              <w:ind w:right="-24"/>
              <w:jc w:val="center"/>
              <w:rPr>
                <w:rFonts w:cstheme="minorHAnsi"/>
                <w:sz w:val="20"/>
                <w:szCs w:val="20"/>
              </w:rPr>
            </w:pPr>
            <w:r w:rsidRPr="003E3D2F">
              <w:rPr>
                <w:rFonts w:cstheme="minorHAnsi"/>
                <w:sz w:val="20"/>
                <w:szCs w:val="20"/>
              </w:rPr>
              <w:t>Varies by building type</w:t>
            </w:r>
          </w:p>
        </w:tc>
        <w:tc>
          <w:tcPr>
            <w:tcW w:w="4757" w:type="dxa"/>
            <w:vAlign w:val="center"/>
          </w:tcPr>
          <w:p w14:paraId="4B132F92" w14:textId="5AB62897" w:rsidR="00F37710" w:rsidRDefault="00B9630B" w:rsidP="00372B3A">
            <w:pPr>
              <w:keepNext/>
              <w:keepLines/>
              <w:spacing w:before="20" w:after="20" w:line="220" w:lineRule="exact"/>
              <w:ind w:right="-24"/>
              <w:rPr>
                <w:sz w:val="18"/>
              </w:rPr>
            </w:pPr>
            <w:r w:rsidRPr="00B9630B">
              <w:rPr>
                <w:sz w:val="18"/>
              </w:rPr>
              <w:t>California Public Utilities Commission (CPUC). 20</w:t>
            </w:r>
            <w:r w:rsidR="00F37710">
              <w:rPr>
                <w:sz w:val="18"/>
              </w:rPr>
              <w:t>20</w:t>
            </w:r>
            <w:r w:rsidRPr="00B9630B">
              <w:rPr>
                <w:sz w:val="18"/>
              </w:rPr>
              <w:t xml:space="preserve">. </w:t>
            </w:r>
          </w:p>
          <w:p w14:paraId="790860B1" w14:textId="74E435EF" w:rsidR="00B9630B" w:rsidRPr="00B9630B" w:rsidRDefault="00F37710" w:rsidP="00372B3A">
            <w:pPr>
              <w:keepNext/>
              <w:keepLines/>
              <w:spacing w:before="20" w:after="20" w:line="220" w:lineRule="exact"/>
              <w:ind w:right="-24"/>
              <w:rPr>
                <w:rFonts w:cstheme="minorHAnsi"/>
                <w:sz w:val="18"/>
                <w:szCs w:val="20"/>
              </w:rPr>
            </w:pPr>
            <w:r w:rsidRPr="00F37710">
              <w:rPr>
                <w:sz w:val="18"/>
              </w:rPr>
              <w:t>DEER2020 Commercial Indoor lighting HVAC Interactive Effects Factors including Hours-of-Use and Coincident Demand Factor</w:t>
            </w:r>
          </w:p>
        </w:tc>
      </w:tr>
      <w:tr w:rsidR="00FC383A" w:rsidRPr="00157BEA" w14:paraId="7ABCE178" w14:textId="77777777" w:rsidTr="00FC383A">
        <w:trPr>
          <w:cantSplit/>
          <w:trHeight w:val="278"/>
        </w:trPr>
        <w:tc>
          <w:tcPr>
            <w:tcW w:w="2941" w:type="dxa"/>
            <w:vAlign w:val="center"/>
          </w:tcPr>
          <w:p w14:paraId="5A942A6E" w14:textId="4DD841F9" w:rsidR="00FC383A" w:rsidRPr="00157BEA" w:rsidRDefault="00FC383A" w:rsidP="00372B3A">
            <w:pPr>
              <w:keepNext/>
              <w:keepLines/>
              <w:spacing w:before="20" w:after="20" w:line="220" w:lineRule="exact"/>
              <w:rPr>
                <w:sz w:val="20"/>
                <w:szCs w:val="20"/>
              </w:rPr>
            </w:pPr>
            <w:r w:rsidRPr="00157BEA">
              <w:rPr>
                <w:sz w:val="20"/>
                <w:szCs w:val="20"/>
              </w:rPr>
              <w:t>Interior display fixture wattage (W)</w:t>
            </w:r>
          </w:p>
        </w:tc>
        <w:tc>
          <w:tcPr>
            <w:tcW w:w="1652" w:type="dxa"/>
            <w:vAlign w:val="center"/>
          </w:tcPr>
          <w:p w14:paraId="012C96AE" w14:textId="71F61086" w:rsidR="00FC383A" w:rsidRPr="003E3D2F" w:rsidRDefault="00065C62" w:rsidP="00372B3A">
            <w:pPr>
              <w:keepNext/>
              <w:keepLines/>
              <w:spacing w:before="20" w:after="20" w:line="220" w:lineRule="exact"/>
              <w:ind w:right="-24"/>
              <w:jc w:val="center"/>
              <w:rPr>
                <w:rFonts w:cstheme="minorHAnsi"/>
                <w:sz w:val="20"/>
                <w:szCs w:val="20"/>
              </w:rPr>
            </w:pPr>
            <w:r w:rsidRPr="003E3D2F">
              <w:rPr>
                <w:rFonts w:cstheme="minorHAnsi"/>
                <w:sz w:val="20"/>
                <w:szCs w:val="20"/>
              </w:rPr>
              <w:t>44</w:t>
            </w:r>
          </w:p>
        </w:tc>
        <w:tc>
          <w:tcPr>
            <w:tcW w:w="4757" w:type="dxa"/>
            <w:vAlign w:val="center"/>
          </w:tcPr>
          <w:p w14:paraId="269D4716" w14:textId="7D1F76AA" w:rsidR="00FC383A" w:rsidRPr="00B9630B" w:rsidRDefault="00065C62" w:rsidP="00372B3A">
            <w:pPr>
              <w:keepNext/>
              <w:keepLines/>
              <w:spacing w:before="20" w:after="20" w:line="220" w:lineRule="exact"/>
              <w:ind w:right="-24"/>
              <w:rPr>
                <w:rFonts w:cstheme="minorHAnsi"/>
                <w:sz w:val="18"/>
                <w:szCs w:val="20"/>
              </w:rPr>
            </w:pPr>
            <w:r>
              <w:rPr>
                <w:sz w:val="18"/>
                <w:szCs w:val="20"/>
              </w:rPr>
              <w:t>Lamp specification for (2) 5-foot, Type B, LED Tubes. 22 Watts each.</w:t>
            </w:r>
          </w:p>
        </w:tc>
      </w:tr>
      <w:tr w:rsidR="00FC383A" w:rsidRPr="00157BEA" w14:paraId="7493F8A4" w14:textId="77777777" w:rsidTr="00FC383A">
        <w:trPr>
          <w:cantSplit/>
          <w:trHeight w:val="278"/>
        </w:trPr>
        <w:tc>
          <w:tcPr>
            <w:tcW w:w="294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542AD53" w14:textId="7C67C74B" w:rsidR="00FC383A" w:rsidRPr="00157BEA" w:rsidRDefault="00FC383A" w:rsidP="00FC383A">
            <w:pPr>
              <w:keepNext/>
              <w:keepLines/>
              <w:spacing w:before="20" w:after="20" w:line="220" w:lineRule="exact"/>
              <w:rPr>
                <w:sz w:val="20"/>
                <w:szCs w:val="20"/>
              </w:rPr>
            </w:pPr>
            <w:r w:rsidRPr="00157BEA">
              <w:rPr>
                <w:sz w:val="20"/>
                <w:szCs w:val="20"/>
              </w:rPr>
              <w:t>Backlit display fixture wattage (W)</w:t>
            </w:r>
          </w:p>
        </w:tc>
        <w:tc>
          <w:tcPr>
            <w:tcW w:w="16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9FFFDC1" w14:textId="3B1865E6" w:rsidR="00FC383A" w:rsidRPr="003E3D2F" w:rsidRDefault="00065C62" w:rsidP="00FC383A">
            <w:pPr>
              <w:keepNext/>
              <w:keepLines/>
              <w:spacing w:before="20" w:after="20" w:line="220" w:lineRule="exact"/>
              <w:ind w:right="-24"/>
              <w:jc w:val="center"/>
              <w:rPr>
                <w:rFonts w:cstheme="minorHAnsi"/>
                <w:sz w:val="20"/>
                <w:szCs w:val="20"/>
              </w:rPr>
            </w:pPr>
            <w:r w:rsidRPr="003E3D2F">
              <w:rPr>
                <w:rFonts w:cstheme="minorHAnsi"/>
                <w:sz w:val="20"/>
                <w:szCs w:val="20"/>
              </w:rPr>
              <w:t>9</w:t>
            </w:r>
          </w:p>
        </w:tc>
        <w:tc>
          <w:tcPr>
            <w:tcW w:w="475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CB69C39" w14:textId="5DD9D302" w:rsidR="00FC383A" w:rsidRPr="00B9630B" w:rsidRDefault="00065C62" w:rsidP="00FC383A">
            <w:pPr>
              <w:keepNext/>
              <w:keepLines/>
              <w:spacing w:before="20" w:after="20" w:line="220" w:lineRule="exact"/>
              <w:ind w:right="-24"/>
              <w:rPr>
                <w:sz w:val="18"/>
                <w:szCs w:val="20"/>
              </w:rPr>
            </w:pPr>
            <w:r>
              <w:rPr>
                <w:sz w:val="18"/>
                <w:szCs w:val="20"/>
              </w:rPr>
              <w:t>Lamp specification for (1) 2-foot, Type B, LED Tubes. 9 Watts each.</w:t>
            </w:r>
          </w:p>
        </w:tc>
      </w:tr>
    </w:tbl>
    <w:p w14:paraId="64DEE99F" w14:textId="44DD2C82" w:rsidR="00F07447" w:rsidRDefault="00732A89" w:rsidP="00732A89">
      <w:pPr>
        <w:pStyle w:val="Caption"/>
      </w:pPr>
      <w:r>
        <w:t>Equivalent Full Load Hours for Building Types Used</w:t>
      </w:r>
    </w:p>
    <w:tbl>
      <w:tblPr>
        <w:tblW w:w="8660" w:type="dxa"/>
        <w:tblLook w:val="04A0" w:firstRow="1" w:lastRow="0" w:firstColumn="1" w:lastColumn="0" w:noHBand="0" w:noVBand="1"/>
      </w:tblPr>
      <w:tblGrid>
        <w:gridCol w:w="2040"/>
        <w:gridCol w:w="1160"/>
        <w:gridCol w:w="1660"/>
        <w:gridCol w:w="1080"/>
        <w:gridCol w:w="1700"/>
        <w:gridCol w:w="1020"/>
      </w:tblGrid>
      <w:tr w:rsidR="002C476E" w:rsidRPr="002C476E" w14:paraId="0BCF464A" w14:textId="77777777" w:rsidTr="00732A89">
        <w:trPr>
          <w:trHeight w:val="255"/>
        </w:trPr>
        <w:tc>
          <w:tcPr>
            <w:tcW w:w="20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vAlign w:val="bottom"/>
            <w:hideMark/>
          </w:tcPr>
          <w:p w14:paraId="16D49026" w14:textId="77777777" w:rsidR="002C476E" w:rsidRPr="002C476E" w:rsidRDefault="002C476E" w:rsidP="00732A89">
            <w:pPr>
              <w:keepNext/>
              <w:keepLines/>
              <w:spacing w:before="20" w:after="20" w:line="220" w:lineRule="exact"/>
              <w:rPr>
                <w:rFonts w:cstheme="minorHAnsi"/>
                <w:b/>
                <w:sz w:val="20"/>
                <w:szCs w:val="20"/>
              </w:rPr>
            </w:pPr>
            <w:r w:rsidRPr="002C476E">
              <w:rPr>
                <w:rFonts w:cstheme="minorHAnsi"/>
                <w:b/>
                <w:sz w:val="20"/>
                <w:szCs w:val="20"/>
              </w:rPr>
              <w:t>Building Type</w:t>
            </w:r>
          </w:p>
        </w:tc>
        <w:tc>
          <w:tcPr>
            <w:tcW w:w="1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vAlign w:val="bottom"/>
            <w:hideMark/>
          </w:tcPr>
          <w:p w14:paraId="73AAC71C" w14:textId="77777777" w:rsidR="002C476E" w:rsidRPr="002C476E" w:rsidRDefault="002C476E" w:rsidP="00732A89">
            <w:pPr>
              <w:keepNext/>
              <w:keepLines/>
              <w:spacing w:before="20" w:after="20" w:line="220" w:lineRule="exact"/>
              <w:rPr>
                <w:rFonts w:cstheme="minorHAnsi"/>
                <w:b/>
                <w:sz w:val="20"/>
                <w:szCs w:val="20"/>
              </w:rPr>
            </w:pPr>
            <w:r w:rsidRPr="002C476E">
              <w:rPr>
                <w:rFonts w:cstheme="minorHAnsi"/>
                <w:b/>
                <w:sz w:val="20"/>
                <w:szCs w:val="20"/>
              </w:rPr>
              <w:t>EFLH</w:t>
            </w:r>
          </w:p>
        </w:tc>
        <w:tc>
          <w:tcPr>
            <w:tcW w:w="16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vAlign w:val="bottom"/>
            <w:hideMark/>
          </w:tcPr>
          <w:p w14:paraId="79A57E0C" w14:textId="77777777" w:rsidR="002C476E" w:rsidRPr="002C476E" w:rsidRDefault="002C476E" w:rsidP="00732A89">
            <w:pPr>
              <w:keepNext/>
              <w:keepLines/>
              <w:spacing w:before="20" w:after="20" w:line="220" w:lineRule="exact"/>
              <w:rPr>
                <w:rFonts w:cstheme="minorHAnsi"/>
                <w:b/>
                <w:sz w:val="20"/>
                <w:szCs w:val="20"/>
              </w:rPr>
            </w:pPr>
            <w:r w:rsidRPr="002C476E">
              <w:rPr>
                <w:rFonts w:cstheme="minorHAnsi"/>
                <w:b/>
                <w:sz w:val="20"/>
                <w:szCs w:val="20"/>
              </w:rPr>
              <w:t>Building Type</w:t>
            </w: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vAlign w:val="bottom"/>
            <w:hideMark/>
          </w:tcPr>
          <w:p w14:paraId="5CE17C62" w14:textId="77777777" w:rsidR="002C476E" w:rsidRPr="002C476E" w:rsidRDefault="002C476E" w:rsidP="00732A89">
            <w:pPr>
              <w:keepNext/>
              <w:keepLines/>
              <w:spacing w:before="20" w:after="20" w:line="220" w:lineRule="exact"/>
              <w:rPr>
                <w:rFonts w:cstheme="minorHAnsi"/>
                <w:b/>
                <w:sz w:val="20"/>
                <w:szCs w:val="20"/>
              </w:rPr>
            </w:pPr>
            <w:r w:rsidRPr="002C476E">
              <w:rPr>
                <w:rFonts w:cstheme="minorHAnsi"/>
                <w:b/>
                <w:sz w:val="20"/>
                <w:szCs w:val="20"/>
              </w:rPr>
              <w:t>EFLH</w:t>
            </w:r>
          </w:p>
        </w:tc>
        <w:tc>
          <w:tcPr>
            <w:tcW w:w="17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vAlign w:val="bottom"/>
            <w:hideMark/>
          </w:tcPr>
          <w:p w14:paraId="516D9657" w14:textId="77777777" w:rsidR="002C476E" w:rsidRPr="002C476E" w:rsidRDefault="002C476E" w:rsidP="00732A89">
            <w:pPr>
              <w:keepNext/>
              <w:keepLines/>
              <w:spacing w:before="20" w:after="20" w:line="220" w:lineRule="exact"/>
              <w:rPr>
                <w:rFonts w:cstheme="minorHAnsi"/>
                <w:b/>
                <w:sz w:val="20"/>
                <w:szCs w:val="20"/>
              </w:rPr>
            </w:pPr>
            <w:r w:rsidRPr="002C476E">
              <w:rPr>
                <w:rFonts w:cstheme="minorHAnsi"/>
                <w:b/>
                <w:sz w:val="20"/>
                <w:szCs w:val="20"/>
              </w:rPr>
              <w:t>Building Type</w:t>
            </w:r>
          </w:p>
        </w:tc>
        <w:tc>
          <w:tcPr>
            <w:tcW w:w="1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vAlign w:val="bottom"/>
            <w:hideMark/>
          </w:tcPr>
          <w:p w14:paraId="742D602B" w14:textId="77777777" w:rsidR="002C476E" w:rsidRPr="002C476E" w:rsidRDefault="002C476E" w:rsidP="00732A89">
            <w:pPr>
              <w:keepNext/>
              <w:keepLines/>
              <w:spacing w:before="20" w:after="20" w:line="220" w:lineRule="exact"/>
              <w:rPr>
                <w:rFonts w:cstheme="minorHAnsi"/>
                <w:b/>
                <w:sz w:val="20"/>
                <w:szCs w:val="20"/>
              </w:rPr>
            </w:pPr>
            <w:r w:rsidRPr="002C476E">
              <w:rPr>
                <w:rFonts w:cstheme="minorHAnsi"/>
                <w:b/>
                <w:sz w:val="20"/>
                <w:szCs w:val="20"/>
              </w:rPr>
              <w:t>EFLH</w:t>
            </w:r>
          </w:p>
        </w:tc>
      </w:tr>
      <w:tr w:rsidR="00732A89" w:rsidRPr="002C476E" w14:paraId="3A6802D0" w14:textId="77777777" w:rsidTr="00732A89">
        <w:trPr>
          <w:trHeight w:val="255"/>
        </w:trPr>
        <w:tc>
          <w:tcPr>
            <w:tcW w:w="20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29C83151" w14:textId="77777777" w:rsidR="002C476E" w:rsidRPr="002C476E" w:rsidRDefault="002C476E" w:rsidP="002C476E">
            <w:pPr>
              <w:spacing w:before="0" w:after="0" w:line="240" w:lineRule="auto"/>
              <w:rPr>
                <w:rFonts w:eastAsia="Times New Roman" w:cs="Calibri Light"/>
                <w:color w:val="000000"/>
                <w:sz w:val="20"/>
                <w:szCs w:val="20"/>
                <w:lang w:eastAsia="ja-JP"/>
              </w:rPr>
            </w:pPr>
            <w:r w:rsidRPr="002C476E">
              <w:rPr>
                <w:rFonts w:eastAsia="Times New Roman" w:cs="Calibri Light"/>
                <w:color w:val="000000"/>
                <w:sz w:val="20"/>
                <w:szCs w:val="20"/>
                <w:lang w:eastAsia="ja-JP"/>
              </w:rPr>
              <w:t>Asm</w:t>
            </w:r>
          </w:p>
        </w:tc>
        <w:tc>
          <w:tcPr>
            <w:tcW w:w="1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0018BF41" w14:textId="77777777" w:rsidR="002C476E" w:rsidRPr="002C476E" w:rsidRDefault="002C476E" w:rsidP="002C476E">
            <w:pPr>
              <w:spacing w:before="0" w:after="0" w:line="240" w:lineRule="auto"/>
              <w:jc w:val="right"/>
              <w:rPr>
                <w:rFonts w:eastAsia="Times New Roman" w:cs="Calibri Light"/>
                <w:color w:val="000000"/>
                <w:sz w:val="20"/>
                <w:szCs w:val="20"/>
                <w:lang w:eastAsia="ja-JP"/>
              </w:rPr>
            </w:pPr>
            <w:r w:rsidRPr="002C476E">
              <w:rPr>
                <w:rFonts w:eastAsia="Times New Roman" w:cs="Calibri Light"/>
                <w:color w:val="000000"/>
                <w:sz w:val="20"/>
                <w:szCs w:val="20"/>
                <w:lang w:eastAsia="ja-JP"/>
              </w:rPr>
              <w:t>1100</w:t>
            </w:r>
          </w:p>
        </w:tc>
        <w:tc>
          <w:tcPr>
            <w:tcW w:w="16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506DD763" w14:textId="77777777" w:rsidR="002C476E" w:rsidRPr="002C476E" w:rsidRDefault="002C476E" w:rsidP="002C476E">
            <w:pPr>
              <w:spacing w:before="0" w:after="0" w:line="240" w:lineRule="auto"/>
              <w:rPr>
                <w:rFonts w:eastAsia="Times New Roman" w:cs="Calibri Light"/>
                <w:color w:val="000000"/>
                <w:sz w:val="20"/>
                <w:szCs w:val="20"/>
                <w:lang w:eastAsia="ja-JP"/>
              </w:rPr>
            </w:pPr>
            <w:proofErr w:type="spellStart"/>
            <w:r w:rsidRPr="002C476E">
              <w:rPr>
                <w:rFonts w:eastAsia="Times New Roman" w:cs="Calibri Light"/>
                <w:color w:val="000000"/>
                <w:sz w:val="20"/>
                <w:szCs w:val="20"/>
                <w:lang w:eastAsia="ja-JP"/>
              </w:rPr>
              <w:t>Htl</w:t>
            </w:r>
            <w:proofErr w:type="spellEnd"/>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20ECC257" w14:textId="77777777" w:rsidR="002C476E" w:rsidRPr="002C476E" w:rsidRDefault="002C476E" w:rsidP="002C476E">
            <w:pPr>
              <w:spacing w:before="0" w:after="0" w:line="240" w:lineRule="auto"/>
              <w:jc w:val="right"/>
              <w:rPr>
                <w:rFonts w:eastAsia="Times New Roman" w:cs="Calibri Light"/>
                <w:color w:val="000000"/>
                <w:sz w:val="20"/>
                <w:szCs w:val="20"/>
                <w:lang w:eastAsia="ja-JP"/>
              </w:rPr>
            </w:pPr>
            <w:r w:rsidRPr="002C476E">
              <w:rPr>
                <w:rFonts w:eastAsia="Times New Roman" w:cs="Calibri Light"/>
                <w:color w:val="000000"/>
                <w:sz w:val="20"/>
                <w:szCs w:val="20"/>
                <w:lang w:eastAsia="ja-JP"/>
              </w:rPr>
              <w:t>1270</w:t>
            </w:r>
          </w:p>
        </w:tc>
        <w:tc>
          <w:tcPr>
            <w:tcW w:w="17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35E84EC2" w14:textId="77777777" w:rsidR="002C476E" w:rsidRPr="002C476E" w:rsidRDefault="002C476E" w:rsidP="002C476E">
            <w:pPr>
              <w:spacing w:before="0" w:after="0" w:line="240" w:lineRule="auto"/>
              <w:rPr>
                <w:rFonts w:eastAsia="Times New Roman" w:cs="Calibri Light"/>
                <w:color w:val="000000"/>
                <w:sz w:val="20"/>
                <w:szCs w:val="20"/>
                <w:lang w:eastAsia="ja-JP"/>
              </w:rPr>
            </w:pPr>
            <w:r w:rsidRPr="002C476E">
              <w:rPr>
                <w:rFonts w:eastAsia="Times New Roman" w:cs="Calibri Light"/>
                <w:color w:val="000000"/>
                <w:sz w:val="20"/>
                <w:szCs w:val="20"/>
                <w:lang w:eastAsia="ja-JP"/>
              </w:rPr>
              <w:t>RSD</w:t>
            </w:r>
          </w:p>
        </w:tc>
        <w:tc>
          <w:tcPr>
            <w:tcW w:w="1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2C22496F" w14:textId="77777777" w:rsidR="002C476E" w:rsidRPr="002C476E" w:rsidRDefault="002C476E" w:rsidP="002C476E">
            <w:pPr>
              <w:spacing w:before="0" w:after="0" w:line="240" w:lineRule="auto"/>
              <w:jc w:val="right"/>
              <w:rPr>
                <w:rFonts w:eastAsia="Times New Roman" w:cs="Calibri Light"/>
                <w:color w:val="000000"/>
                <w:sz w:val="20"/>
                <w:szCs w:val="20"/>
                <w:lang w:eastAsia="ja-JP"/>
              </w:rPr>
            </w:pPr>
            <w:r w:rsidRPr="002C476E">
              <w:rPr>
                <w:rFonts w:eastAsia="Times New Roman" w:cs="Calibri Light"/>
                <w:color w:val="000000"/>
                <w:sz w:val="20"/>
                <w:szCs w:val="20"/>
                <w:lang w:eastAsia="ja-JP"/>
              </w:rPr>
              <w:t>3210</w:t>
            </w:r>
          </w:p>
        </w:tc>
      </w:tr>
      <w:tr w:rsidR="00732A89" w:rsidRPr="002C476E" w14:paraId="6D73820C" w14:textId="77777777" w:rsidTr="00732A89">
        <w:trPr>
          <w:trHeight w:val="255"/>
        </w:trPr>
        <w:tc>
          <w:tcPr>
            <w:tcW w:w="20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4340B716" w14:textId="77777777" w:rsidR="002C476E" w:rsidRPr="002C476E" w:rsidRDefault="002C476E" w:rsidP="002C476E">
            <w:pPr>
              <w:spacing w:before="0" w:after="0" w:line="240" w:lineRule="auto"/>
              <w:rPr>
                <w:rFonts w:eastAsia="Times New Roman" w:cs="Calibri Light"/>
                <w:color w:val="000000"/>
                <w:sz w:val="20"/>
                <w:szCs w:val="20"/>
                <w:lang w:eastAsia="ja-JP"/>
              </w:rPr>
            </w:pPr>
            <w:r w:rsidRPr="002C476E">
              <w:rPr>
                <w:rFonts w:eastAsia="Times New Roman" w:cs="Calibri Light"/>
                <w:color w:val="000000"/>
                <w:sz w:val="20"/>
                <w:szCs w:val="20"/>
                <w:lang w:eastAsia="ja-JP"/>
              </w:rPr>
              <w:t>Com</w:t>
            </w:r>
          </w:p>
        </w:tc>
        <w:tc>
          <w:tcPr>
            <w:tcW w:w="1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24BC9272" w14:textId="77777777" w:rsidR="002C476E" w:rsidRPr="002C476E" w:rsidRDefault="002C476E" w:rsidP="002C476E">
            <w:pPr>
              <w:spacing w:before="0" w:after="0" w:line="240" w:lineRule="auto"/>
              <w:jc w:val="right"/>
              <w:rPr>
                <w:rFonts w:eastAsia="Times New Roman" w:cs="Calibri Light"/>
                <w:color w:val="000000"/>
                <w:sz w:val="20"/>
                <w:szCs w:val="20"/>
                <w:lang w:eastAsia="ja-JP"/>
              </w:rPr>
            </w:pPr>
            <w:r w:rsidRPr="002C476E">
              <w:rPr>
                <w:rFonts w:eastAsia="Times New Roman" w:cs="Calibri Light"/>
                <w:color w:val="000000"/>
                <w:sz w:val="20"/>
                <w:szCs w:val="20"/>
                <w:lang w:eastAsia="ja-JP"/>
              </w:rPr>
              <w:t>2450</w:t>
            </w:r>
          </w:p>
        </w:tc>
        <w:tc>
          <w:tcPr>
            <w:tcW w:w="16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714AF5E1" w14:textId="77777777" w:rsidR="002C476E" w:rsidRPr="002C476E" w:rsidRDefault="002C476E" w:rsidP="002C476E">
            <w:pPr>
              <w:spacing w:before="0" w:after="0" w:line="240" w:lineRule="auto"/>
              <w:rPr>
                <w:rFonts w:eastAsia="Times New Roman" w:cs="Calibri Light"/>
                <w:color w:val="000000"/>
                <w:sz w:val="20"/>
                <w:szCs w:val="20"/>
                <w:lang w:eastAsia="ja-JP"/>
              </w:rPr>
            </w:pPr>
            <w:r w:rsidRPr="002C476E">
              <w:rPr>
                <w:rFonts w:eastAsia="Times New Roman" w:cs="Calibri Light"/>
                <w:color w:val="000000"/>
                <w:sz w:val="20"/>
                <w:szCs w:val="20"/>
                <w:lang w:eastAsia="ja-JP"/>
              </w:rPr>
              <w:t>MBT</w:t>
            </w: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63C7AA1A" w14:textId="77777777" w:rsidR="002C476E" w:rsidRPr="002C476E" w:rsidRDefault="002C476E" w:rsidP="002C476E">
            <w:pPr>
              <w:spacing w:before="0" w:after="0" w:line="240" w:lineRule="auto"/>
              <w:jc w:val="right"/>
              <w:rPr>
                <w:rFonts w:eastAsia="Times New Roman" w:cs="Calibri Light"/>
                <w:color w:val="000000"/>
                <w:sz w:val="20"/>
                <w:szCs w:val="20"/>
                <w:lang w:eastAsia="ja-JP"/>
              </w:rPr>
            </w:pPr>
            <w:r w:rsidRPr="002C476E">
              <w:rPr>
                <w:rFonts w:eastAsia="Times New Roman" w:cs="Calibri Light"/>
                <w:color w:val="000000"/>
                <w:sz w:val="20"/>
                <w:szCs w:val="20"/>
                <w:lang w:eastAsia="ja-JP"/>
              </w:rPr>
              <w:t>2360</w:t>
            </w:r>
          </w:p>
        </w:tc>
        <w:tc>
          <w:tcPr>
            <w:tcW w:w="17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7DD5A0E7" w14:textId="77777777" w:rsidR="002C476E" w:rsidRPr="002C476E" w:rsidRDefault="002C476E" w:rsidP="002C476E">
            <w:pPr>
              <w:spacing w:before="0" w:after="0" w:line="240" w:lineRule="auto"/>
              <w:rPr>
                <w:rFonts w:eastAsia="Times New Roman" w:cs="Calibri Light"/>
                <w:color w:val="000000"/>
                <w:sz w:val="20"/>
                <w:szCs w:val="20"/>
                <w:lang w:eastAsia="ja-JP"/>
              </w:rPr>
            </w:pPr>
            <w:r w:rsidRPr="002C476E">
              <w:rPr>
                <w:rFonts w:eastAsia="Times New Roman" w:cs="Calibri Light"/>
                <w:color w:val="000000"/>
                <w:sz w:val="20"/>
                <w:szCs w:val="20"/>
                <w:lang w:eastAsia="ja-JP"/>
              </w:rPr>
              <w:t>Rt3</w:t>
            </w:r>
          </w:p>
        </w:tc>
        <w:tc>
          <w:tcPr>
            <w:tcW w:w="1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078AA89F" w14:textId="77777777" w:rsidR="002C476E" w:rsidRPr="002C476E" w:rsidRDefault="002C476E" w:rsidP="002C476E">
            <w:pPr>
              <w:spacing w:before="0" w:after="0" w:line="240" w:lineRule="auto"/>
              <w:jc w:val="right"/>
              <w:rPr>
                <w:rFonts w:eastAsia="Times New Roman" w:cs="Calibri Light"/>
                <w:color w:val="000000"/>
                <w:sz w:val="20"/>
                <w:szCs w:val="20"/>
                <w:lang w:eastAsia="ja-JP"/>
              </w:rPr>
            </w:pPr>
            <w:r w:rsidRPr="002C476E">
              <w:rPr>
                <w:rFonts w:eastAsia="Times New Roman" w:cs="Calibri Light"/>
                <w:color w:val="000000"/>
                <w:sz w:val="20"/>
                <w:szCs w:val="20"/>
                <w:lang w:eastAsia="ja-JP"/>
              </w:rPr>
              <w:t>5180</w:t>
            </w:r>
          </w:p>
        </w:tc>
      </w:tr>
      <w:tr w:rsidR="00732A89" w:rsidRPr="002C476E" w14:paraId="4BA89201" w14:textId="77777777" w:rsidTr="00732A89">
        <w:trPr>
          <w:trHeight w:val="255"/>
        </w:trPr>
        <w:tc>
          <w:tcPr>
            <w:tcW w:w="20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0350FF99" w14:textId="77777777" w:rsidR="002C476E" w:rsidRPr="002C476E" w:rsidRDefault="002C476E" w:rsidP="002C476E">
            <w:pPr>
              <w:spacing w:before="0" w:after="0" w:line="240" w:lineRule="auto"/>
              <w:rPr>
                <w:rFonts w:eastAsia="Times New Roman" w:cs="Calibri Light"/>
                <w:color w:val="000000"/>
                <w:sz w:val="20"/>
                <w:szCs w:val="20"/>
                <w:lang w:eastAsia="ja-JP"/>
              </w:rPr>
            </w:pPr>
            <w:proofErr w:type="spellStart"/>
            <w:r w:rsidRPr="002C476E">
              <w:rPr>
                <w:rFonts w:eastAsia="Times New Roman" w:cs="Calibri Light"/>
                <w:color w:val="000000"/>
                <w:sz w:val="20"/>
                <w:szCs w:val="20"/>
                <w:lang w:eastAsia="ja-JP"/>
              </w:rPr>
              <w:t>DMo</w:t>
            </w:r>
            <w:proofErr w:type="spellEnd"/>
          </w:p>
        </w:tc>
        <w:tc>
          <w:tcPr>
            <w:tcW w:w="1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556A4029" w14:textId="77777777" w:rsidR="002C476E" w:rsidRPr="002C476E" w:rsidRDefault="002C476E" w:rsidP="002C476E">
            <w:pPr>
              <w:spacing w:before="0" w:after="0" w:line="240" w:lineRule="auto"/>
              <w:jc w:val="right"/>
              <w:rPr>
                <w:rFonts w:eastAsia="Times New Roman" w:cs="Calibri Light"/>
                <w:color w:val="000000"/>
                <w:sz w:val="20"/>
                <w:szCs w:val="20"/>
                <w:lang w:eastAsia="ja-JP"/>
              </w:rPr>
            </w:pPr>
            <w:r w:rsidRPr="002C476E">
              <w:rPr>
                <w:rFonts w:eastAsia="Times New Roman" w:cs="Calibri Light"/>
                <w:color w:val="000000"/>
                <w:sz w:val="20"/>
                <w:szCs w:val="20"/>
                <w:lang w:eastAsia="ja-JP"/>
              </w:rPr>
              <w:t>541</w:t>
            </w:r>
          </w:p>
        </w:tc>
        <w:tc>
          <w:tcPr>
            <w:tcW w:w="16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682C4BD9" w14:textId="77777777" w:rsidR="002C476E" w:rsidRPr="002C476E" w:rsidRDefault="002C476E" w:rsidP="002C476E">
            <w:pPr>
              <w:spacing w:before="0" w:after="0" w:line="240" w:lineRule="auto"/>
              <w:rPr>
                <w:rFonts w:eastAsia="Times New Roman" w:cs="Calibri Light"/>
                <w:color w:val="000000"/>
                <w:sz w:val="20"/>
                <w:szCs w:val="20"/>
                <w:lang w:eastAsia="ja-JP"/>
              </w:rPr>
            </w:pPr>
            <w:r w:rsidRPr="002C476E">
              <w:rPr>
                <w:rFonts w:eastAsia="Times New Roman" w:cs="Calibri Light"/>
                <w:color w:val="000000"/>
                <w:sz w:val="20"/>
                <w:szCs w:val="20"/>
                <w:lang w:eastAsia="ja-JP"/>
              </w:rPr>
              <w:t>MFm</w:t>
            </w: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0666A458" w14:textId="77777777" w:rsidR="002C476E" w:rsidRPr="002C476E" w:rsidRDefault="002C476E" w:rsidP="002C476E">
            <w:pPr>
              <w:spacing w:before="0" w:after="0" w:line="240" w:lineRule="auto"/>
              <w:jc w:val="right"/>
              <w:rPr>
                <w:rFonts w:eastAsia="Times New Roman" w:cs="Calibri Light"/>
                <w:color w:val="000000"/>
                <w:sz w:val="20"/>
                <w:szCs w:val="20"/>
                <w:lang w:eastAsia="ja-JP"/>
              </w:rPr>
            </w:pPr>
            <w:r w:rsidRPr="002C476E">
              <w:rPr>
                <w:rFonts w:eastAsia="Times New Roman" w:cs="Calibri Light"/>
                <w:color w:val="000000"/>
                <w:sz w:val="20"/>
                <w:szCs w:val="20"/>
                <w:lang w:eastAsia="ja-JP"/>
              </w:rPr>
              <w:t>541</w:t>
            </w:r>
          </w:p>
        </w:tc>
        <w:tc>
          <w:tcPr>
            <w:tcW w:w="17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2ABB75A6" w14:textId="77777777" w:rsidR="002C476E" w:rsidRPr="002C476E" w:rsidRDefault="002C476E" w:rsidP="002C476E">
            <w:pPr>
              <w:spacing w:before="0" w:after="0" w:line="240" w:lineRule="auto"/>
              <w:rPr>
                <w:rFonts w:eastAsia="Times New Roman" w:cs="Calibri Light"/>
                <w:color w:val="000000"/>
                <w:sz w:val="20"/>
                <w:szCs w:val="20"/>
                <w:lang w:eastAsia="ja-JP"/>
              </w:rPr>
            </w:pPr>
            <w:proofErr w:type="spellStart"/>
            <w:r w:rsidRPr="002C476E">
              <w:rPr>
                <w:rFonts w:eastAsia="Times New Roman" w:cs="Calibri Light"/>
                <w:color w:val="000000"/>
                <w:sz w:val="20"/>
                <w:szCs w:val="20"/>
                <w:lang w:eastAsia="ja-JP"/>
              </w:rPr>
              <w:t>RtL</w:t>
            </w:r>
            <w:proofErr w:type="spellEnd"/>
          </w:p>
        </w:tc>
        <w:tc>
          <w:tcPr>
            <w:tcW w:w="1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749D2530" w14:textId="77777777" w:rsidR="002C476E" w:rsidRPr="002C476E" w:rsidRDefault="002C476E" w:rsidP="002C476E">
            <w:pPr>
              <w:spacing w:before="0" w:after="0" w:line="240" w:lineRule="auto"/>
              <w:jc w:val="right"/>
              <w:rPr>
                <w:rFonts w:eastAsia="Times New Roman" w:cs="Calibri Light"/>
                <w:color w:val="000000"/>
                <w:sz w:val="20"/>
                <w:szCs w:val="20"/>
                <w:lang w:eastAsia="ja-JP"/>
              </w:rPr>
            </w:pPr>
            <w:r w:rsidRPr="002C476E">
              <w:rPr>
                <w:rFonts w:eastAsia="Times New Roman" w:cs="Calibri Light"/>
                <w:color w:val="000000"/>
                <w:sz w:val="20"/>
                <w:szCs w:val="20"/>
                <w:lang w:eastAsia="ja-JP"/>
              </w:rPr>
              <w:t>3000</w:t>
            </w:r>
          </w:p>
        </w:tc>
      </w:tr>
      <w:tr w:rsidR="00732A89" w:rsidRPr="002C476E" w14:paraId="1272EC16" w14:textId="77777777" w:rsidTr="00732A89">
        <w:trPr>
          <w:trHeight w:val="255"/>
        </w:trPr>
        <w:tc>
          <w:tcPr>
            <w:tcW w:w="20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1CF61C0A" w14:textId="77777777" w:rsidR="002C476E" w:rsidRPr="002C476E" w:rsidRDefault="002C476E" w:rsidP="002C476E">
            <w:pPr>
              <w:spacing w:before="0" w:after="0" w:line="240" w:lineRule="auto"/>
              <w:rPr>
                <w:rFonts w:eastAsia="Times New Roman" w:cs="Calibri Light"/>
                <w:color w:val="000000"/>
                <w:sz w:val="20"/>
                <w:szCs w:val="20"/>
                <w:lang w:eastAsia="ja-JP"/>
              </w:rPr>
            </w:pPr>
            <w:r w:rsidRPr="002C476E">
              <w:rPr>
                <w:rFonts w:eastAsia="Times New Roman" w:cs="Calibri Light"/>
                <w:color w:val="000000"/>
                <w:sz w:val="20"/>
                <w:szCs w:val="20"/>
                <w:lang w:eastAsia="ja-JP"/>
              </w:rPr>
              <w:t>ECC</w:t>
            </w:r>
          </w:p>
        </w:tc>
        <w:tc>
          <w:tcPr>
            <w:tcW w:w="1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289E5FC9" w14:textId="77777777" w:rsidR="002C476E" w:rsidRPr="002C476E" w:rsidRDefault="002C476E" w:rsidP="002C476E">
            <w:pPr>
              <w:spacing w:before="0" w:after="0" w:line="240" w:lineRule="auto"/>
              <w:jc w:val="right"/>
              <w:rPr>
                <w:rFonts w:eastAsia="Times New Roman" w:cs="Calibri Light"/>
                <w:color w:val="000000"/>
                <w:sz w:val="20"/>
                <w:szCs w:val="20"/>
                <w:lang w:eastAsia="ja-JP"/>
              </w:rPr>
            </w:pPr>
            <w:r w:rsidRPr="002C476E">
              <w:rPr>
                <w:rFonts w:eastAsia="Times New Roman" w:cs="Calibri Light"/>
                <w:color w:val="000000"/>
                <w:sz w:val="20"/>
                <w:szCs w:val="20"/>
                <w:lang w:eastAsia="ja-JP"/>
              </w:rPr>
              <w:t>2360</w:t>
            </w:r>
          </w:p>
        </w:tc>
        <w:tc>
          <w:tcPr>
            <w:tcW w:w="16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5ECD65AE" w14:textId="77777777" w:rsidR="002C476E" w:rsidRPr="002C476E" w:rsidRDefault="002C476E" w:rsidP="002C476E">
            <w:pPr>
              <w:spacing w:before="0" w:after="0" w:line="240" w:lineRule="auto"/>
              <w:rPr>
                <w:rFonts w:eastAsia="Times New Roman" w:cs="Calibri Light"/>
                <w:color w:val="000000"/>
                <w:sz w:val="20"/>
                <w:szCs w:val="20"/>
                <w:lang w:eastAsia="ja-JP"/>
              </w:rPr>
            </w:pPr>
            <w:r w:rsidRPr="002C476E">
              <w:rPr>
                <w:rFonts w:eastAsia="Times New Roman" w:cs="Calibri Light"/>
                <w:color w:val="000000"/>
                <w:sz w:val="20"/>
                <w:szCs w:val="20"/>
                <w:lang w:eastAsia="ja-JP"/>
              </w:rPr>
              <w:t>MLI</w:t>
            </w: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08C29EE1" w14:textId="77777777" w:rsidR="002C476E" w:rsidRPr="002C476E" w:rsidRDefault="002C476E" w:rsidP="002C476E">
            <w:pPr>
              <w:spacing w:before="0" w:after="0" w:line="240" w:lineRule="auto"/>
              <w:jc w:val="right"/>
              <w:rPr>
                <w:rFonts w:eastAsia="Times New Roman" w:cs="Calibri Light"/>
                <w:color w:val="000000"/>
                <w:sz w:val="20"/>
                <w:szCs w:val="20"/>
                <w:lang w:eastAsia="ja-JP"/>
              </w:rPr>
            </w:pPr>
            <w:r w:rsidRPr="002C476E">
              <w:rPr>
                <w:rFonts w:eastAsia="Times New Roman" w:cs="Calibri Light"/>
                <w:color w:val="000000"/>
                <w:sz w:val="20"/>
                <w:szCs w:val="20"/>
                <w:lang w:eastAsia="ja-JP"/>
              </w:rPr>
              <w:t>2370</w:t>
            </w:r>
          </w:p>
        </w:tc>
        <w:tc>
          <w:tcPr>
            <w:tcW w:w="17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2D55C8F9" w14:textId="77777777" w:rsidR="002C476E" w:rsidRPr="002C476E" w:rsidRDefault="002C476E" w:rsidP="002C476E">
            <w:pPr>
              <w:spacing w:before="0" w:after="0" w:line="240" w:lineRule="auto"/>
              <w:rPr>
                <w:rFonts w:eastAsia="Times New Roman" w:cs="Calibri Light"/>
                <w:color w:val="000000"/>
                <w:sz w:val="20"/>
                <w:szCs w:val="20"/>
                <w:lang w:eastAsia="ja-JP"/>
              </w:rPr>
            </w:pPr>
            <w:proofErr w:type="spellStart"/>
            <w:r w:rsidRPr="002C476E">
              <w:rPr>
                <w:rFonts w:eastAsia="Times New Roman" w:cs="Calibri Light"/>
                <w:color w:val="000000"/>
                <w:sz w:val="20"/>
                <w:szCs w:val="20"/>
                <w:lang w:eastAsia="ja-JP"/>
              </w:rPr>
              <w:t>RtS</w:t>
            </w:r>
            <w:proofErr w:type="spellEnd"/>
          </w:p>
        </w:tc>
        <w:tc>
          <w:tcPr>
            <w:tcW w:w="1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4F0BCAE1" w14:textId="77777777" w:rsidR="002C476E" w:rsidRPr="002C476E" w:rsidRDefault="002C476E" w:rsidP="002C476E">
            <w:pPr>
              <w:spacing w:before="0" w:after="0" w:line="240" w:lineRule="auto"/>
              <w:jc w:val="right"/>
              <w:rPr>
                <w:rFonts w:eastAsia="Times New Roman" w:cs="Calibri Light"/>
                <w:color w:val="000000"/>
                <w:sz w:val="20"/>
                <w:szCs w:val="20"/>
                <w:lang w:eastAsia="ja-JP"/>
              </w:rPr>
            </w:pPr>
            <w:r w:rsidRPr="002C476E">
              <w:rPr>
                <w:rFonts w:eastAsia="Times New Roman" w:cs="Calibri Light"/>
                <w:color w:val="000000"/>
                <w:sz w:val="20"/>
                <w:szCs w:val="20"/>
                <w:lang w:eastAsia="ja-JP"/>
              </w:rPr>
              <w:t>2860</w:t>
            </w:r>
          </w:p>
        </w:tc>
      </w:tr>
      <w:tr w:rsidR="00732A89" w:rsidRPr="002C476E" w14:paraId="026F07FB" w14:textId="77777777" w:rsidTr="00732A89">
        <w:trPr>
          <w:trHeight w:val="255"/>
        </w:trPr>
        <w:tc>
          <w:tcPr>
            <w:tcW w:w="20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5DD7D35E" w14:textId="77777777" w:rsidR="002C476E" w:rsidRPr="002C476E" w:rsidRDefault="002C476E" w:rsidP="002C476E">
            <w:pPr>
              <w:spacing w:before="0" w:after="0" w:line="240" w:lineRule="auto"/>
              <w:rPr>
                <w:rFonts w:eastAsia="Times New Roman" w:cs="Calibri Light"/>
                <w:color w:val="000000"/>
                <w:sz w:val="20"/>
                <w:szCs w:val="20"/>
                <w:lang w:eastAsia="ja-JP"/>
              </w:rPr>
            </w:pPr>
            <w:proofErr w:type="spellStart"/>
            <w:r w:rsidRPr="002C476E">
              <w:rPr>
                <w:rFonts w:eastAsia="Times New Roman" w:cs="Calibri Light"/>
                <w:color w:val="000000"/>
                <w:sz w:val="20"/>
                <w:szCs w:val="20"/>
                <w:lang w:eastAsia="ja-JP"/>
              </w:rPr>
              <w:t>EPr</w:t>
            </w:r>
            <w:proofErr w:type="spellEnd"/>
          </w:p>
        </w:tc>
        <w:tc>
          <w:tcPr>
            <w:tcW w:w="1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3BD4B303" w14:textId="77777777" w:rsidR="002C476E" w:rsidRPr="002C476E" w:rsidRDefault="002C476E" w:rsidP="002C476E">
            <w:pPr>
              <w:spacing w:before="0" w:after="0" w:line="240" w:lineRule="auto"/>
              <w:jc w:val="right"/>
              <w:rPr>
                <w:rFonts w:eastAsia="Times New Roman" w:cs="Calibri Light"/>
                <w:color w:val="000000"/>
                <w:sz w:val="20"/>
                <w:szCs w:val="20"/>
                <w:lang w:eastAsia="ja-JP"/>
              </w:rPr>
            </w:pPr>
            <w:r w:rsidRPr="002C476E">
              <w:rPr>
                <w:rFonts w:eastAsia="Times New Roman" w:cs="Calibri Light"/>
                <w:color w:val="000000"/>
                <w:sz w:val="20"/>
                <w:szCs w:val="20"/>
                <w:lang w:eastAsia="ja-JP"/>
              </w:rPr>
              <w:t>1300</w:t>
            </w:r>
          </w:p>
        </w:tc>
        <w:tc>
          <w:tcPr>
            <w:tcW w:w="16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69E44936" w14:textId="77777777" w:rsidR="002C476E" w:rsidRPr="002C476E" w:rsidRDefault="002C476E" w:rsidP="002C476E">
            <w:pPr>
              <w:spacing w:before="0" w:after="0" w:line="240" w:lineRule="auto"/>
              <w:rPr>
                <w:rFonts w:eastAsia="Times New Roman" w:cs="Calibri Light"/>
                <w:color w:val="000000"/>
                <w:sz w:val="20"/>
                <w:szCs w:val="20"/>
                <w:lang w:eastAsia="ja-JP"/>
              </w:rPr>
            </w:pPr>
            <w:proofErr w:type="spellStart"/>
            <w:r w:rsidRPr="002C476E">
              <w:rPr>
                <w:rFonts w:eastAsia="Times New Roman" w:cs="Calibri Light"/>
                <w:color w:val="000000"/>
                <w:sz w:val="20"/>
                <w:szCs w:val="20"/>
                <w:lang w:eastAsia="ja-JP"/>
              </w:rPr>
              <w:t>Mtl</w:t>
            </w:r>
            <w:proofErr w:type="spellEnd"/>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75D995A0" w14:textId="77777777" w:rsidR="002C476E" w:rsidRPr="002C476E" w:rsidRDefault="002C476E" w:rsidP="002C476E">
            <w:pPr>
              <w:spacing w:before="0" w:after="0" w:line="240" w:lineRule="auto"/>
              <w:jc w:val="right"/>
              <w:rPr>
                <w:rFonts w:eastAsia="Times New Roman" w:cs="Calibri Light"/>
                <w:color w:val="000000"/>
                <w:sz w:val="20"/>
                <w:szCs w:val="20"/>
                <w:lang w:eastAsia="ja-JP"/>
              </w:rPr>
            </w:pPr>
            <w:r w:rsidRPr="002C476E">
              <w:rPr>
                <w:rFonts w:eastAsia="Times New Roman" w:cs="Calibri Light"/>
                <w:color w:val="000000"/>
                <w:sz w:val="20"/>
                <w:szCs w:val="20"/>
                <w:lang w:eastAsia="ja-JP"/>
              </w:rPr>
              <w:t>990</w:t>
            </w:r>
          </w:p>
        </w:tc>
        <w:tc>
          <w:tcPr>
            <w:tcW w:w="17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374E0261" w14:textId="77777777" w:rsidR="002C476E" w:rsidRPr="002C476E" w:rsidRDefault="002C476E" w:rsidP="002C476E">
            <w:pPr>
              <w:spacing w:before="0" w:after="0" w:line="240" w:lineRule="auto"/>
              <w:rPr>
                <w:rFonts w:eastAsia="Times New Roman" w:cs="Calibri Light"/>
                <w:color w:val="000000"/>
                <w:sz w:val="20"/>
                <w:szCs w:val="20"/>
                <w:lang w:eastAsia="ja-JP"/>
              </w:rPr>
            </w:pPr>
            <w:proofErr w:type="spellStart"/>
            <w:r w:rsidRPr="002C476E">
              <w:rPr>
                <w:rFonts w:eastAsia="Times New Roman" w:cs="Calibri Light"/>
                <w:color w:val="000000"/>
                <w:sz w:val="20"/>
                <w:szCs w:val="20"/>
                <w:lang w:eastAsia="ja-JP"/>
              </w:rPr>
              <w:t>SCn</w:t>
            </w:r>
            <w:proofErr w:type="spellEnd"/>
          </w:p>
        </w:tc>
        <w:tc>
          <w:tcPr>
            <w:tcW w:w="1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46BE0267" w14:textId="77777777" w:rsidR="002C476E" w:rsidRPr="002C476E" w:rsidRDefault="002C476E" w:rsidP="002C476E">
            <w:pPr>
              <w:spacing w:before="0" w:after="0" w:line="240" w:lineRule="auto"/>
              <w:jc w:val="right"/>
              <w:rPr>
                <w:rFonts w:eastAsia="Times New Roman" w:cs="Calibri Light"/>
                <w:color w:val="000000"/>
                <w:sz w:val="20"/>
                <w:szCs w:val="20"/>
                <w:lang w:eastAsia="ja-JP"/>
              </w:rPr>
            </w:pPr>
            <w:r w:rsidRPr="002C476E">
              <w:rPr>
                <w:rFonts w:eastAsia="Times New Roman" w:cs="Calibri Light"/>
                <w:color w:val="000000"/>
                <w:sz w:val="20"/>
                <w:szCs w:val="20"/>
                <w:lang w:eastAsia="ja-JP"/>
              </w:rPr>
              <w:t>2030</w:t>
            </w:r>
          </w:p>
        </w:tc>
      </w:tr>
      <w:tr w:rsidR="00732A89" w:rsidRPr="002C476E" w14:paraId="746B7BA0" w14:textId="77777777" w:rsidTr="00732A89">
        <w:trPr>
          <w:trHeight w:val="255"/>
        </w:trPr>
        <w:tc>
          <w:tcPr>
            <w:tcW w:w="20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7891E47F" w14:textId="77777777" w:rsidR="002C476E" w:rsidRPr="002C476E" w:rsidRDefault="002C476E" w:rsidP="002C476E">
            <w:pPr>
              <w:spacing w:before="0" w:after="0" w:line="240" w:lineRule="auto"/>
              <w:rPr>
                <w:rFonts w:eastAsia="Times New Roman" w:cs="Calibri Light"/>
                <w:color w:val="000000"/>
                <w:sz w:val="20"/>
                <w:szCs w:val="20"/>
                <w:lang w:eastAsia="ja-JP"/>
              </w:rPr>
            </w:pPr>
            <w:r w:rsidRPr="002C476E">
              <w:rPr>
                <w:rFonts w:eastAsia="Times New Roman" w:cs="Calibri Light"/>
                <w:color w:val="000000"/>
                <w:sz w:val="20"/>
                <w:szCs w:val="20"/>
                <w:lang w:eastAsia="ja-JP"/>
              </w:rPr>
              <w:t>ERC</w:t>
            </w:r>
          </w:p>
        </w:tc>
        <w:tc>
          <w:tcPr>
            <w:tcW w:w="1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0FF7E4D0" w14:textId="77777777" w:rsidR="002C476E" w:rsidRPr="002C476E" w:rsidRDefault="002C476E" w:rsidP="002C476E">
            <w:pPr>
              <w:spacing w:before="0" w:after="0" w:line="240" w:lineRule="auto"/>
              <w:jc w:val="right"/>
              <w:rPr>
                <w:rFonts w:eastAsia="Times New Roman" w:cs="Calibri Light"/>
                <w:color w:val="000000"/>
                <w:sz w:val="20"/>
                <w:szCs w:val="20"/>
                <w:lang w:eastAsia="ja-JP"/>
              </w:rPr>
            </w:pPr>
            <w:r w:rsidRPr="002C476E">
              <w:rPr>
                <w:rFonts w:eastAsia="Times New Roman" w:cs="Calibri Light"/>
                <w:color w:val="000000"/>
                <w:sz w:val="20"/>
                <w:szCs w:val="20"/>
                <w:lang w:eastAsia="ja-JP"/>
              </w:rPr>
              <w:t>1090</w:t>
            </w:r>
          </w:p>
        </w:tc>
        <w:tc>
          <w:tcPr>
            <w:tcW w:w="16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3411AFBE" w14:textId="77777777" w:rsidR="002C476E" w:rsidRPr="002C476E" w:rsidRDefault="002C476E" w:rsidP="002C476E">
            <w:pPr>
              <w:spacing w:before="0" w:after="0" w:line="240" w:lineRule="auto"/>
              <w:rPr>
                <w:rFonts w:eastAsia="Times New Roman" w:cs="Calibri Light"/>
                <w:color w:val="000000"/>
                <w:sz w:val="20"/>
                <w:szCs w:val="20"/>
                <w:lang w:eastAsia="ja-JP"/>
              </w:rPr>
            </w:pPr>
            <w:proofErr w:type="spellStart"/>
            <w:r w:rsidRPr="002C476E">
              <w:rPr>
                <w:rFonts w:eastAsia="Times New Roman" w:cs="Calibri Light"/>
                <w:color w:val="000000"/>
                <w:sz w:val="20"/>
                <w:szCs w:val="20"/>
                <w:lang w:eastAsia="ja-JP"/>
              </w:rPr>
              <w:t>Nrs</w:t>
            </w:r>
            <w:proofErr w:type="spellEnd"/>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258FDDFF" w14:textId="77777777" w:rsidR="002C476E" w:rsidRPr="002C476E" w:rsidRDefault="002C476E" w:rsidP="002C476E">
            <w:pPr>
              <w:spacing w:before="0" w:after="0" w:line="240" w:lineRule="auto"/>
              <w:jc w:val="right"/>
              <w:rPr>
                <w:rFonts w:eastAsia="Times New Roman" w:cs="Calibri Light"/>
                <w:color w:val="000000"/>
                <w:sz w:val="20"/>
                <w:szCs w:val="20"/>
                <w:lang w:eastAsia="ja-JP"/>
              </w:rPr>
            </w:pPr>
            <w:r w:rsidRPr="002C476E">
              <w:rPr>
                <w:rFonts w:eastAsia="Times New Roman" w:cs="Calibri Light"/>
                <w:color w:val="000000"/>
                <w:sz w:val="20"/>
                <w:szCs w:val="20"/>
                <w:lang w:eastAsia="ja-JP"/>
              </w:rPr>
              <w:t>3460</w:t>
            </w:r>
          </w:p>
        </w:tc>
        <w:tc>
          <w:tcPr>
            <w:tcW w:w="17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1B444E8A" w14:textId="77777777" w:rsidR="002C476E" w:rsidRPr="002C476E" w:rsidRDefault="002C476E" w:rsidP="002C476E">
            <w:pPr>
              <w:spacing w:before="0" w:after="0" w:line="240" w:lineRule="auto"/>
              <w:rPr>
                <w:rFonts w:eastAsia="Times New Roman" w:cs="Calibri Light"/>
                <w:color w:val="000000"/>
                <w:sz w:val="20"/>
                <w:szCs w:val="20"/>
                <w:lang w:eastAsia="ja-JP"/>
              </w:rPr>
            </w:pPr>
            <w:proofErr w:type="spellStart"/>
            <w:r w:rsidRPr="002C476E">
              <w:rPr>
                <w:rFonts w:eastAsia="Times New Roman" w:cs="Calibri Light"/>
                <w:color w:val="000000"/>
                <w:sz w:val="20"/>
                <w:szCs w:val="20"/>
                <w:lang w:eastAsia="ja-JP"/>
              </w:rPr>
              <w:t>SFm</w:t>
            </w:r>
            <w:proofErr w:type="spellEnd"/>
          </w:p>
        </w:tc>
        <w:tc>
          <w:tcPr>
            <w:tcW w:w="1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2685C1E0" w14:textId="77777777" w:rsidR="002C476E" w:rsidRPr="002C476E" w:rsidRDefault="002C476E" w:rsidP="002C476E">
            <w:pPr>
              <w:spacing w:before="0" w:after="0" w:line="240" w:lineRule="auto"/>
              <w:jc w:val="right"/>
              <w:rPr>
                <w:rFonts w:eastAsia="Times New Roman" w:cs="Calibri Light"/>
                <w:color w:val="000000"/>
                <w:sz w:val="20"/>
                <w:szCs w:val="20"/>
                <w:lang w:eastAsia="ja-JP"/>
              </w:rPr>
            </w:pPr>
            <w:r w:rsidRPr="002C476E">
              <w:rPr>
                <w:rFonts w:eastAsia="Times New Roman" w:cs="Calibri Light"/>
                <w:color w:val="000000"/>
                <w:sz w:val="20"/>
                <w:szCs w:val="20"/>
                <w:lang w:eastAsia="ja-JP"/>
              </w:rPr>
              <w:t>541</w:t>
            </w:r>
          </w:p>
        </w:tc>
      </w:tr>
      <w:tr w:rsidR="00732A89" w:rsidRPr="002C476E" w14:paraId="5566FE0E" w14:textId="77777777" w:rsidTr="00732A89">
        <w:trPr>
          <w:trHeight w:val="255"/>
        </w:trPr>
        <w:tc>
          <w:tcPr>
            <w:tcW w:w="20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5A728D61" w14:textId="77777777" w:rsidR="002C476E" w:rsidRPr="002C476E" w:rsidRDefault="002C476E" w:rsidP="002C476E">
            <w:pPr>
              <w:spacing w:before="0" w:after="0" w:line="240" w:lineRule="auto"/>
              <w:rPr>
                <w:rFonts w:eastAsia="Times New Roman" w:cs="Calibri Light"/>
                <w:color w:val="000000"/>
                <w:sz w:val="20"/>
                <w:szCs w:val="20"/>
                <w:lang w:eastAsia="ja-JP"/>
              </w:rPr>
            </w:pPr>
            <w:proofErr w:type="spellStart"/>
            <w:r w:rsidRPr="002C476E">
              <w:rPr>
                <w:rFonts w:eastAsia="Times New Roman" w:cs="Calibri Light"/>
                <w:color w:val="000000"/>
                <w:sz w:val="20"/>
                <w:szCs w:val="20"/>
                <w:lang w:eastAsia="ja-JP"/>
              </w:rPr>
              <w:t>ESe</w:t>
            </w:r>
            <w:proofErr w:type="spellEnd"/>
          </w:p>
        </w:tc>
        <w:tc>
          <w:tcPr>
            <w:tcW w:w="1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77A69D93" w14:textId="77777777" w:rsidR="002C476E" w:rsidRPr="002C476E" w:rsidRDefault="002C476E" w:rsidP="002C476E">
            <w:pPr>
              <w:spacing w:before="0" w:after="0" w:line="240" w:lineRule="auto"/>
              <w:jc w:val="right"/>
              <w:rPr>
                <w:rFonts w:eastAsia="Times New Roman" w:cs="Calibri Light"/>
                <w:color w:val="000000"/>
                <w:sz w:val="20"/>
                <w:szCs w:val="20"/>
                <w:lang w:eastAsia="ja-JP"/>
              </w:rPr>
            </w:pPr>
            <w:r w:rsidRPr="002C476E">
              <w:rPr>
                <w:rFonts w:eastAsia="Times New Roman" w:cs="Calibri Light"/>
                <w:color w:val="000000"/>
                <w:sz w:val="20"/>
                <w:szCs w:val="20"/>
                <w:lang w:eastAsia="ja-JP"/>
              </w:rPr>
              <w:t>1780</w:t>
            </w:r>
          </w:p>
        </w:tc>
        <w:tc>
          <w:tcPr>
            <w:tcW w:w="16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4DF7FA5A" w14:textId="77777777" w:rsidR="002C476E" w:rsidRPr="002C476E" w:rsidRDefault="002C476E" w:rsidP="002C476E">
            <w:pPr>
              <w:spacing w:before="0" w:after="0" w:line="240" w:lineRule="auto"/>
              <w:rPr>
                <w:rFonts w:eastAsia="Times New Roman" w:cs="Calibri Light"/>
                <w:color w:val="000000"/>
                <w:sz w:val="20"/>
                <w:szCs w:val="20"/>
                <w:lang w:eastAsia="ja-JP"/>
              </w:rPr>
            </w:pPr>
            <w:proofErr w:type="spellStart"/>
            <w:r w:rsidRPr="002C476E">
              <w:rPr>
                <w:rFonts w:eastAsia="Times New Roman" w:cs="Calibri Light"/>
                <w:color w:val="000000"/>
                <w:sz w:val="20"/>
                <w:szCs w:val="20"/>
                <w:lang w:eastAsia="ja-JP"/>
              </w:rPr>
              <w:t>OfL</w:t>
            </w:r>
            <w:proofErr w:type="spellEnd"/>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3D4C228A" w14:textId="77777777" w:rsidR="002C476E" w:rsidRPr="002C476E" w:rsidRDefault="002C476E" w:rsidP="002C476E">
            <w:pPr>
              <w:spacing w:before="0" w:after="0" w:line="240" w:lineRule="auto"/>
              <w:jc w:val="right"/>
              <w:rPr>
                <w:rFonts w:eastAsia="Times New Roman" w:cs="Calibri Light"/>
                <w:color w:val="000000"/>
                <w:sz w:val="20"/>
                <w:szCs w:val="20"/>
                <w:lang w:eastAsia="ja-JP"/>
              </w:rPr>
            </w:pPr>
            <w:r w:rsidRPr="002C476E">
              <w:rPr>
                <w:rFonts w:eastAsia="Times New Roman" w:cs="Calibri Light"/>
                <w:color w:val="000000"/>
                <w:sz w:val="20"/>
                <w:szCs w:val="20"/>
                <w:lang w:eastAsia="ja-JP"/>
              </w:rPr>
              <w:t>2070</w:t>
            </w:r>
          </w:p>
        </w:tc>
        <w:tc>
          <w:tcPr>
            <w:tcW w:w="17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2CD5EBCA" w14:textId="77777777" w:rsidR="002C476E" w:rsidRPr="002C476E" w:rsidRDefault="002C476E" w:rsidP="002C476E">
            <w:pPr>
              <w:spacing w:before="0" w:after="0" w:line="240" w:lineRule="auto"/>
              <w:rPr>
                <w:rFonts w:eastAsia="Times New Roman" w:cs="Calibri Light"/>
                <w:color w:val="000000"/>
                <w:sz w:val="20"/>
                <w:szCs w:val="20"/>
                <w:lang w:eastAsia="ja-JP"/>
              </w:rPr>
            </w:pPr>
            <w:proofErr w:type="spellStart"/>
            <w:r w:rsidRPr="002C476E">
              <w:rPr>
                <w:rFonts w:eastAsia="Times New Roman" w:cs="Calibri Light"/>
                <w:color w:val="000000"/>
                <w:sz w:val="20"/>
                <w:szCs w:val="20"/>
                <w:lang w:eastAsia="ja-JP"/>
              </w:rPr>
              <w:t>SUn</w:t>
            </w:r>
            <w:proofErr w:type="spellEnd"/>
          </w:p>
        </w:tc>
        <w:tc>
          <w:tcPr>
            <w:tcW w:w="1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25C36E30" w14:textId="77777777" w:rsidR="002C476E" w:rsidRPr="002C476E" w:rsidRDefault="002C476E" w:rsidP="002C476E">
            <w:pPr>
              <w:spacing w:before="0" w:after="0" w:line="240" w:lineRule="auto"/>
              <w:jc w:val="right"/>
              <w:rPr>
                <w:rFonts w:eastAsia="Times New Roman" w:cs="Calibri Light"/>
                <w:color w:val="000000"/>
                <w:sz w:val="20"/>
                <w:szCs w:val="20"/>
                <w:lang w:eastAsia="ja-JP"/>
              </w:rPr>
            </w:pPr>
            <w:r w:rsidRPr="002C476E">
              <w:rPr>
                <w:rFonts w:eastAsia="Times New Roman" w:cs="Calibri Light"/>
                <w:color w:val="000000"/>
                <w:sz w:val="20"/>
                <w:szCs w:val="20"/>
                <w:lang w:eastAsia="ja-JP"/>
              </w:rPr>
              <w:t>1880</w:t>
            </w:r>
          </w:p>
        </w:tc>
      </w:tr>
      <w:tr w:rsidR="00732A89" w:rsidRPr="002C476E" w14:paraId="18E7D447" w14:textId="77777777" w:rsidTr="00732A89">
        <w:trPr>
          <w:trHeight w:val="255"/>
        </w:trPr>
        <w:tc>
          <w:tcPr>
            <w:tcW w:w="20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6B2D3806" w14:textId="77777777" w:rsidR="002C476E" w:rsidRPr="002C476E" w:rsidRDefault="002C476E" w:rsidP="002C476E">
            <w:pPr>
              <w:spacing w:before="0" w:after="0" w:line="240" w:lineRule="auto"/>
              <w:rPr>
                <w:rFonts w:eastAsia="Times New Roman" w:cs="Calibri Light"/>
                <w:color w:val="000000"/>
                <w:sz w:val="20"/>
                <w:szCs w:val="20"/>
                <w:lang w:eastAsia="ja-JP"/>
              </w:rPr>
            </w:pPr>
            <w:proofErr w:type="spellStart"/>
            <w:r w:rsidRPr="002C476E">
              <w:rPr>
                <w:rFonts w:eastAsia="Times New Roman" w:cs="Calibri Light"/>
                <w:color w:val="000000"/>
                <w:sz w:val="20"/>
                <w:szCs w:val="20"/>
                <w:lang w:eastAsia="ja-JP"/>
              </w:rPr>
              <w:t>EUn</w:t>
            </w:r>
            <w:proofErr w:type="spellEnd"/>
          </w:p>
        </w:tc>
        <w:tc>
          <w:tcPr>
            <w:tcW w:w="1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40CB2F52" w14:textId="77777777" w:rsidR="002C476E" w:rsidRPr="002C476E" w:rsidRDefault="002C476E" w:rsidP="002C476E">
            <w:pPr>
              <w:spacing w:before="0" w:after="0" w:line="240" w:lineRule="auto"/>
              <w:jc w:val="right"/>
              <w:rPr>
                <w:rFonts w:eastAsia="Times New Roman" w:cs="Calibri Light"/>
                <w:color w:val="000000"/>
                <w:sz w:val="20"/>
                <w:szCs w:val="20"/>
                <w:lang w:eastAsia="ja-JP"/>
              </w:rPr>
            </w:pPr>
            <w:r w:rsidRPr="002C476E">
              <w:rPr>
                <w:rFonts w:eastAsia="Times New Roman" w:cs="Calibri Light"/>
                <w:color w:val="000000"/>
                <w:sz w:val="20"/>
                <w:szCs w:val="20"/>
                <w:lang w:eastAsia="ja-JP"/>
              </w:rPr>
              <w:t>2190</w:t>
            </w:r>
          </w:p>
        </w:tc>
        <w:tc>
          <w:tcPr>
            <w:tcW w:w="16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4DE3416B" w14:textId="77777777" w:rsidR="002C476E" w:rsidRPr="002C476E" w:rsidRDefault="002C476E" w:rsidP="002C476E">
            <w:pPr>
              <w:spacing w:before="0" w:after="0" w:line="240" w:lineRule="auto"/>
              <w:rPr>
                <w:rFonts w:eastAsia="Times New Roman" w:cs="Calibri Light"/>
                <w:color w:val="000000"/>
                <w:sz w:val="20"/>
                <w:szCs w:val="20"/>
                <w:lang w:eastAsia="ja-JP"/>
              </w:rPr>
            </w:pPr>
            <w:proofErr w:type="spellStart"/>
            <w:r w:rsidRPr="002C476E">
              <w:rPr>
                <w:rFonts w:eastAsia="Times New Roman" w:cs="Calibri Light"/>
                <w:color w:val="000000"/>
                <w:sz w:val="20"/>
                <w:szCs w:val="20"/>
                <w:lang w:eastAsia="ja-JP"/>
              </w:rPr>
              <w:t>OfS</w:t>
            </w:r>
            <w:proofErr w:type="spellEnd"/>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22517D8A" w14:textId="77777777" w:rsidR="002C476E" w:rsidRPr="002C476E" w:rsidRDefault="002C476E" w:rsidP="002C476E">
            <w:pPr>
              <w:spacing w:before="0" w:after="0" w:line="240" w:lineRule="auto"/>
              <w:jc w:val="right"/>
              <w:rPr>
                <w:rFonts w:eastAsia="Times New Roman" w:cs="Calibri Light"/>
                <w:color w:val="000000"/>
                <w:sz w:val="20"/>
                <w:szCs w:val="20"/>
                <w:lang w:eastAsia="ja-JP"/>
              </w:rPr>
            </w:pPr>
            <w:r w:rsidRPr="002C476E">
              <w:rPr>
                <w:rFonts w:eastAsia="Times New Roman" w:cs="Calibri Light"/>
                <w:color w:val="000000"/>
                <w:sz w:val="20"/>
                <w:szCs w:val="20"/>
                <w:lang w:eastAsia="ja-JP"/>
              </w:rPr>
              <w:t>1760</w:t>
            </w:r>
          </w:p>
        </w:tc>
        <w:tc>
          <w:tcPr>
            <w:tcW w:w="17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2B49DE8B" w14:textId="77777777" w:rsidR="002C476E" w:rsidRPr="002C476E" w:rsidRDefault="002C476E" w:rsidP="002C476E">
            <w:pPr>
              <w:spacing w:before="0" w:after="0" w:line="240" w:lineRule="auto"/>
              <w:rPr>
                <w:rFonts w:eastAsia="Times New Roman" w:cs="Calibri Light"/>
                <w:color w:val="000000"/>
                <w:sz w:val="20"/>
                <w:szCs w:val="20"/>
                <w:lang w:eastAsia="ja-JP"/>
              </w:rPr>
            </w:pPr>
            <w:proofErr w:type="spellStart"/>
            <w:r w:rsidRPr="002C476E">
              <w:rPr>
                <w:rFonts w:eastAsia="Times New Roman" w:cs="Calibri Light"/>
                <w:color w:val="000000"/>
                <w:sz w:val="20"/>
                <w:szCs w:val="20"/>
                <w:lang w:eastAsia="ja-JP"/>
              </w:rPr>
              <w:t>WRf</w:t>
            </w:r>
            <w:proofErr w:type="spellEnd"/>
          </w:p>
        </w:tc>
        <w:tc>
          <w:tcPr>
            <w:tcW w:w="1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4BEB31F1" w14:textId="77777777" w:rsidR="002C476E" w:rsidRPr="002C476E" w:rsidRDefault="002C476E" w:rsidP="002C476E">
            <w:pPr>
              <w:spacing w:before="0" w:after="0" w:line="240" w:lineRule="auto"/>
              <w:jc w:val="right"/>
              <w:rPr>
                <w:rFonts w:eastAsia="Times New Roman" w:cs="Calibri Light"/>
                <w:color w:val="000000"/>
                <w:sz w:val="20"/>
                <w:szCs w:val="20"/>
                <w:lang w:eastAsia="ja-JP"/>
              </w:rPr>
            </w:pPr>
            <w:r w:rsidRPr="002C476E">
              <w:rPr>
                <w:rFonts w:eastAsia="Times New Roman" w:cs="Calibri Light"/>
                <w:color w:val="000000"/>
                <w:sz w:val="20"/>
                <w:szCs w:val="20"/>
                <w:lang w:eastAsia="ja-JP"/>
              </w:rPr>
              <w:t>4660</w:t>
            </w:r>
          </w:p>
        </w:tc>
      </w:tr>
      <w:tr w:rsidR="00732A89" w:rsidRPr="002C476E" w14:paraId="49895962" w14:textId="77777777" w:rsidTr="00732A89">
        <w:trPr>
          <w:trHeight w:val="255"/>
        </w:trPr>
        <w:tc>
          <w:tcPr>
            <w:tcW w:w="20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10C76696" w14:textId="77777777" w:rsidR="002C476E" w:rsidRPr="002C476E" w:rsidRDefault="002C476E" w:rsidP="002C476E">
            <w:pPr>
              <w:spacing w:before="0" w:after="0" w:line="240" w:lineRule="auto"/>
              <w:rPr>
                <w:rFonts w:eastAsia="Times New Roman" w:cs="Calibri Light"/>
                <w:color w:val="000000"/>
                <w:sz w:val="20"/>
                <w:szCs w:val="20"/>
                <w:lang w:eastAsia="ja-JP"/>
              </w:rPr>
            </w:pPr>
            <w:r w:rsidRPr="002C476E">
              <w:rPr>
                <w:rFonts w:eastAsia="Times New Roman" w:cs="Calibri Light"/>
                <w:color w:val="000000"/>
                <w:sz w:val="20"/>
                <w:szCs w:val="20"/>
                <w:lang w:eastAsia="ja-JP"/>
              </w:rPr>
              <w:t>Gro</w:t>
            </w:r>
          </w:p>
        </w:tc>
        <w:tc>
          <w:tcPr>
            <w:tcW w:w="1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4CB74436" w14:textId="77777777" w:rsidR="002C476E" w:rsidRPr="002C476E" w:rsidRDefault="002C476E" w:rsidP="002C476E">
            <w:pPr>
              <w:spacing w:before="0" w:after="0" w:line="240" w:lineRule="auto"/>
              <w:jc w:val="right"/>
              <w:rPr>
                <w:rFonts w:eastAsia="Times New Roman" w:cs="Calibri Light"/>
                <w:color w:val="000000"/>
                <w:sz w:val="20"/>
                <w:szCs w:val="20"/>
                <w:lang w:eastAsia="ja-JP"/>
              </w:rPr>
            </w:pPr>
            <w:r w:rsidRPr="002C476E">
              <w:rPr>
                <w:rFonts w:eastAsia="Times New Roman" w:cs="Calibri Light"/>
                <w:color w:val="000000"/>
                <w:sz w:val="20"/>
                <w:szCs w:val="20"/>
                <w:lang w:eastAsia="ja-JP"/>
              </w:rPr>
              <w:t>4780</w:t>
            </w:r>
          </w:p>
        </w:tc>
        <w:tc>
          <w:tcPr>
            <w:tcW w:w="16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2DC09C8B" w14:textId="77777777" w:rsidR="002C476E" w:rsidRPr="002C476E" w:rsidRDefault="002C476E" w:rsidP="002C476E">
            <w:pPr>
              <w:spacing w:before="0" w:after="0" w:line="240" w:lineRule="auto"/>
              <w:rPr>
                <w:rFonts w:eastAsia="Times New Roman" w:cs="Calibri Light"/>
                <w:color w:val="000000"/>
                <w:sz w:val="20"/>
                <w:szCs w:val="20"/>
                <w:lang w:eastAsia="ja-JP"/>
              </w:rPr>
            </w:pPr>
            <w:r w:rsidRPr="002C476E">
              <w:rPr>
                <w:rFonts w:eastAsia="Times New Roman" w:cs="Calibri Light"/>
                <w:color w:val="000000"/>
                <w:sz w:val="20"/>
                <w:szCs w:val="20"/>
                <w:lang w:eastAsia="ja-JP"/>
              </w:rPr>
              <w:t>Res</w:t>
            </w: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51423A91" w14:textId="77777777" w:rsidR="002C476E" w:rsidRPr="002C476E" w:rsidRDefault="002C476E" w:rsidP="002C476E">
            <w:pPr>
              <w:spacing w:before="0" w:after="0" w:line="240" w:lineRule="auto"/>
              <w:jc w:val="right"/>
              <w:rPr>
                <w:rFonts w:eastAsia="Times New Roman" w:cs="Calibri Light"/>
                <w:color w:val="000000"/>
                <w:sz w:val="20"/>
                <w:szCs w:val="20"/>
                <w:lang w:eastAsia="ja-JP"/>
              </w:rPr>
            </w:pPr>
            <w:r w:rsidRPr="002C476E">
              <w:rPr>
                <w:rFonts w:eastAsia="Times New Roman" w:cs="Calibri Light"/>
                <w:color w:val="000000"/>
                <w:sz w:val="20"/>
                <w:szCs w:val="20"/>
                <w:lang w:eastAsia="ja-JP"/>
              </w:rPr>
              <w:t>541</w:t>
            </w:r>
          </w:p>
        </w:tc>
        <w:tc>
          <w:tcPr>
            <w:tcW w:w="17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74CD9DBF" w14:textId="77777777" w:rsidR="002C476E" w:rsidRPr="002C476E" w:rsidRDefault="002C476E" w:rsidP="002C476E">
            <w:pPr>
              <w:spacing w:before="0" w:after="0" w:line="240" w:lineRule="auto"/>
              <w:rPr>
                <w:rFonts w:eastAsia="Times New Roman" w:cs="Calibri Light"/>
                <w:color w:val="000000"/>
                <w:sz w:val="20"/>
                <w:szCs w:val="20"/>
                <w:lang w:eastAsia="ja-JP"/>
              </w:rPr>
            </w:pPr>
            <w:r w:rsidRPr="002C476E">
              <w:rPr>
                <w:rFonts w:eastAsia="Times New Roman" w:cs="Calibri Light"/>
                <w:color w:val="000000"/>
                <w:sz w:val="20"/>
                <w:szCs w:val="20"/>
                <w:lang w:eastAsia="ja-JP"/>
              </w:rPr>
              <w:t> </w:t>
            </w:r>
          </w:p>
        </w:tc>
        <w:tc>
          <w:tcPr>
            <w:tcW w:w="1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0F2996C2" w14:textId="77777777" w:rsidR="002C476E" w:rsidRPr="002C476E" w:rsidRDefault="002C476E" w:rsidP="002C476E">
            <w:pPr>
              <w:spacing w:before="0" w:after="0" w:line="240" w:lineRule="auto"/>
              <w:rPr>
                <w:rFonts w:eastAsia="Times New Roman" w:cs="Calibri Light"/>
                <w:color w:val="000000"/>
                <w:sz w:val="20"/>
                <w:szCs w:val="20"/>
                <w:lang w:eastAsia="ja-JP"/>
              </w:rPr>
            </w:pPr>
            <w:r w:rsidRPr="002C476E">
              <w:rPr>
                <w:rFonts w:eastAsia="Times New Roman" w:cs="Calibri Light"/>
                <w:color w:val="000000"/>
                <w:sz w:val="20"/>
                <w:szCs w:val="20"/>
                <w:lang w:eastAsia="ja-JP"/>
              </w:rPr>
              <w:t> </w:t>
            </w:r>
          </w:p>
        </w:tc>
      </w:tr>
      <w:tr w:rsidR="00732A89" w:rsidRPr="002C476E" w14:paraId="27AE3C6E" w14:textId="77777777" w:rsidTr="00732A89">
        <w:trPr>
          <w:trHeight w:val="255"/>
        </w:trPr>
        <w:tc>
          <w:tcPr>
            <w:tcW w:w="20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3536D454" w14:textId="77777777" w:rsidR="002C476E" w:rsidRPr="002C476E" w:rsidRDefault="002C476E" w:rsidP="002C476E">
            <w:pPr>
              <w:spacing w:before="0" w:after="0" w:line="240" w:lineRule="auto"/>
              <w:rPr>
                <w:rFonts w:eastAsia="Times New Roman" w:cs="Calibri Light"/>
                <w:color w:val="000000"/>
                <w:sz w:val="20"/>
                <w:szCs w:val="20"/>
                <w:lang w:eastAsia="ja-JP"/>
              </w:rPr>
            </w:pPr>
            <w:proofErr w:type="spellStart"/>
            <w:r w:rsidRPr="002C476E">
              <w:rPr>
                <w:rFonts w:eastAsia="Times New Roman" w:cs="Calibri Light"/>
                <w:color w:val="000000"/>
                <w:sz w:val="20"/>
                <w:szCs w:val="20"/>
                <w:lang w:eastAsia="ja-JP"/>
              </w:rPr>
              <w:t>Hsp</w:t>
            </w:r>
            <w:proofErr w:type="spellEnd"/>
          </w:p>
        </w:tc>
        <w:tc>
          <w:tcPr>
            <w:tcW w:w="1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137C582F" w14:textId="77777777" w:rsidR="002C476E" w:rsidRPr="002C476E" w:rsidRDefault="002C476E" w:rsidP="002C476E">
            <w:pPr>
              <w:spacing w:before="0" w:after="0" w:line="240" w:lineRule="auto"/>
              <w:jc w:val="right"/>
              <w:rPr>
                <w:rFonts w:eastAsia="Times New Roman" w:cs="Calibri Light"/>
                <w:color w:val="000000"/>
                <w:sz w:val="20"/>
                <w:szCs w:val="20"/>
                <w:lang w:eastAsia="ja-JP"/>
              </w:rPr>
            </w:pPr>
            <w:r w:rsidRPr="002C476E">
              <w:rPr>
                <w:rFonts w:eastAsia="Times New Roman" w:cs="Calibri Light"/>
                <w:color w:val="000000"/>
                <w:sz w:val="20"/>
                <w:szCs w:val="20"/>
                <w:lang w:eastAsia="ja-JP"/>
              </w:rPr>
              <w:t>5090</w:t>
            </w:r>
          </w:p>
        </w:tc>
        <w:tc>
          <w:tcPr>
            <w:tcW w:w="16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244FC95C" w14:textId="77777777" w:rsidR="002C476E" w:rsidRPr="002C476E" w:rsidRDefault="002C476E" w:rsidP="002C476E">
            <w:pPr>
              <w:spacing w:before="0" w:after="0" w:line="240" w:lineRule="auto"/>
              <w:rPr>
                <w:rFonts w:eastAsia="Times New Roman" w:cs="Calibri Light"/>
                <w:color w:val="000000"/>
                <w:sz w:val="20"/>
                <w:szCs w:val="20"/>
                <w:lang w:eastAsia="ja-JP"/>
              </w:rPr>
            </w:pPr>
            <w:r w:rsidRPr="002C476E">
              <w:rPr>
                <w:rFonts w:eastAsia="Times New Roman" w:cs="Calibri Light"/>
                <w:color w:val="000000"/>
                <w:sz w:val="20"/>
                <w:szCs w:val="20"/>
                <w:lang w:eastAsia="ja-JP"/>
              </w:rPr>
              <w:t>RFF</w:t>
            </w: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23EC9070" w14:textId="77777777" w:rsidR="002C476E" w:rsidRPr="002C476E" w:rsidRDefault="002C476E" w:rsidP="002C476E">
            <w:pPr>
              <w:spacing w:before="0" w:after="0" w:line="240" w:lineRule="auto"/>
              <w:jc w:val="right"/>
              <w:rPr>
                <w:rFonts w:eastAsia="Times New Roman" w:cs="Calibri Light"/>
                <w:color w:val="000000"/>
                <w:sz w:val="20"/>
                <w:szCs w:val="20"/>
                <w:lang w:eastAsia="ja-JP"/>
              </w:rPr>
            </w:pPr>
            <w:r w:rsidRPr="002C476E">
              <w:rPr>
                <w:rFonts w:eastAsia="Times New Roman" w:cs="Calibri Light"/>
                <w:color w:val="000000"/>
                <w:sz w:val="20"/>
                <w:szCs w:val="20"/>
                <w:lang w:eastAsia="ja-JP"/>
              </w:rPr>
              <w:t>3910</w:t>
            </w:r>
          </w:p>
        </w:tc>
        <w:tc>
          <w:tcPr>
            <w:tcW w:w="17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456DCD23" w14:textId="77777777" w:rsidR="002C476E" w:rsidRPr="002C476E" w:rsidRDefault="002C476E" w:rsidP="002C476E">
            <w:pPr>
              <w:spacing w:before="0" w:after="0" w:line="240" w:lineRule="auto"/>
              <w:rPr>
                <w:rFonts w:eastAsia="Times New Roman" w:cs="Calibri Light"/>
                <w:color w:val="000000"/>
                <w:sz w:val="20"/>
                <w:szCs w:val="20"/>
                <w:lang w:eastAsia="ja-JP"/>
              </w:rPr>
            </w:pPr>
            <w:r w:rsidRPr="002C476E">
              <w:rPr>
                <w:rFonts w:eastAsia="Times New Roman" w:cs="Calibri Light"/>
                <w:color w:val="000000"/>
                <w:sz w:val="20"/>
                <w:szCs w:val="20"/>
                <w:lang w:eastAsia="ja-JP"/>
              </w:rPr>
              <w:t> </w:t>
            </w:r>
          </w:p>
        </w:tc>
        <w:tc>
          <w:tcPr>
            <w:tcW w:w="1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FFFFF"/>
            <w:noWrap/>
            <w:vAlign w:val="bottom"/>
            <w:hideMark/>
          </w:tcPr>
          <w:p w14:paraId="20639740" w14:textId="77777777" w:rsidR="002C476E" w:rsidRPr="002C476E" w:rsidRDefault="002C476E" w:rsidP="002C476E">
            <w:pPr>
              <w:spacing w:before="0" w:after="0" w:line="240" w:lineRule="auto"/>
              <w:rPr>
                <w:rFonts w:eastAsia="Times New Roman" w:cs="Calibri Light"/>
                <w:color w:val="000000"/>
                <w:sz w:val="20"/>
                <w:szCs w:val="20"/>
                <w:lang w:eastAsia="ja-JP"/>
              </w:rPr>
            </w:pPr>
            <w:r w:rsidRPr="002C476E">
              <w:rPr>
                <w:rFonts w:eastAsia="Times New Roman" w:cs="Calibri Light"/>
                <w:color w:val="000000"/>
                <w:sz w:val="20"/>
                <w:szCs w:val="20"/>
                <w:lang w:eastAsia="ja-JP"/>
              </w:rPr>
              <w:t> </w:t>
            </w:r>
          </w:p>
        </w:tc>
      </w:tr>
    </w:tbl>
    <w:p w14:paraId="553898AE" w14:textId="77777777" w:rsidR="002C476E" w:rsidRDefault="002C476E" w:rsidP="00836BD3"/>
    <w:p w14:paraId="55E83D80" w14:textId="0A22C071" w:rsidR="000202D0" w:rsidRPr="007D7024" w:rsidRDefault="00405B5B" w:rsidP="00112334">
      <w:pPr>
        <w:pStyle w:val="eTRMHeading4"/>
        <w:rPr>
          <w:iCs/>
          <w:smallCaps/>
        </w:rPr>
      </w:pPr>
      <w:r>
        <w:t>R</w:t>
      </w:r>
      <w:r w:rsidR="000202D0" w:rsidRPr="007D7024">
        <w:t xml:space="preserve">eduction </w:t>
      </w:r>
      <w:r>
        <w:t>of</w:t>
      </w:r>
      <w:r w:rsidR="000202D0" w:rsidRPr="007D7024">
        <w:t xml:space="preserve"> </w:t>
      </w:r>
      <w:r w:rsidR="00F07447">
        <w:t>R</w:t>
      </w:r>
      <w:r w:rsidR="000202D0" w:rsidRPr="007D7024">
        <w:t xml:space="preserve">efrigeration </w:t>
      </w:r>
      <w:r w:rsidR="00F07447">
        <w:t>T</w:t>
      </w:r>
      <w:r w:rsidR="000202D0" w:rsidRPr="007D7024">
        <w:t xml:space="preserve">ime for </w:t>
      </w:r>
      <w:r w:rsidR="00F07447">
        <w:t>Refrigerated B</w:t>
      </w:r>
      <w:r w:rsidR="000202D0" w:rsidRPr="007D7024">
        <w:t xml:space="preserve">everage </w:t>
      </w:r>
      <w:r w:rsidR="00F07447">
        <w:t>V</w:t>
      </w:r>
      <w:r w:rsidR="000202D0" w:rsidRPr="007D7024">
        <w:t xml:space="preserve">ending </w:t>
      </w:r>
      <w:r w:rsidR="00F07447">
        <w:t>M</w:t>
      </w:r>
      <w:r w:rsidR="000202D0" w:rsidRPr="007D7024">
        <w:t>achines</w:t>
      </w:r>
    </w:p>
    <w:p w14:paraId="498C31CA" w14:textId="51A47B39" w:rsidR="000202D0" w:rsidRPr="008C4E72" w:rsidRDefault="00AA5501" w:rsidP="00A66484">
      <w:r>
        <w:t xml:space="preserve">The reduction of refrigeration time </w:t>
      </w:r>
      <w:r w:rsidR="006816B8">
        <w:t xml:space="preserve">as a result of a beverage vending machine controller </w:t>
      </w:r>
      <w:r w:rsidR="006B6484">
        <w:t xml:space="preserve">(BMC) </w:t>
      </w:r>
      <w:r w:rsidR="006816B8">
        <w:t xml:space="preserve">is a function of the </w:t>
      </w:r>
      <w:r w:rsidR="006B6484">
        <w:t>daily energy consumption</w:t>
      </w:r>
      <w:r w:rsidR="007E2A3B">
        <w:t xml:space="preserve"> of the vending machine</w:t>
      </w:r>
      <w:r w:rsidR="006B6484">
        <w:t>,</w:t>
      </w:r>
      <w:r w:rsidR="003E3D2F">
        <w:rPr>
          <w:rStyle w:val="FootnoteReference"/>
        </w:rPr>
        <w:footnoteReference w:id="7"/>
      </w:r>
      <w:r w:rsidR="006B6484">
        <w:t xml:space="preserve"> the </w:t>
      </w:r>
      <w:r w:rsidR="006816B8">
        <w:t>rated capacity</w:t>
      </w:r>
      <w:r w:rsidR="007E2A3B">
        <w:t xml:space="preserve"> of the appliance</w:t>
      </w:r>
      <w:r w:rsidR="006B6484">
        <w:t xml:space="preserve">, </w:t>
      </w:r>
      <w:r w:rsidR="007E2A3B">
        <w:t xml:space="preserve">and </w:t>
      </w:r>
      <w:r w:rsidR="006816B8">
        <w:t>the maximum hours of “sleep mode” per day</w:t>
      </w:r>
      <w:r w:rsidR="007E2A3B">
        <w:t xml:space="preserve"> as a result of the BMC</w:t>
      </w:r>
      <w:r w:rsidR="006816B8">
        <w:t xml:space="preserve">. </w:t>
      </w:r>
      <w:r w:rsidR="006B6484" w:rsidRPr="008C4E72">
        <w:t xml:space="preserve">The base case </w:t>
      </w:r>
      <w:r w:rsidR="006B6484">
        <w:t xml:space="preserve">unit </w:t>
      </w:r>
      <w:r w:rsidR="006B6484" w:rsidRPr="008C4E72">
        <w:t xml:space="preserve">energy </w:t>
      </w:r>
      <w:r w:rsidR="006B6484">
        <w:lastRenderedPageBreak/>
        <w:t>consumption</w:t>
      </w:r>
      <w:r w:rsidR="006B6484" w:rsidRPr="008C4E72">
        <w:t xml:space="preserve"> </w:t>
      </w:r>
      <w:r w:rsidR="006B6484">
        <w:t xml:space="preserve">(UEC) </w:t>
      </w:r>
      <w:r w:rsidR="006B6484" w:rsidRPr="008C4E72">
        <w:t xml:space="preserve">is </w:t>
      </w:r>
      <w:r w:rsidR="006B6484">
        <w:t>based upon</w:t>
      </w:r>
      <w:r w:rsidR="006B6484" w:rsidRPr="008C4E72">
        <w:t xml:space="preserve"> the </w:t>
      </w:r>
      <w:r w:rsidR="006B6484">
        <w:t xml:space="preserve">California Appliance Efficiency Regulations (Title 20) </w:t>
      </w:r>
      <w:r w:rsidR="006B6484" w:rsidRPr="008C4E72">
        <w:t>for refrigerated canned and bottled beverage vending machines</w:t>
      </w:r>
      <w:r w:rsidR="00EC2B9B">
        <w:t xml:space="preserve"> Part 431, Subpart Q </w:t>
      </w:r>
      <w:r w:rsidR="00EC2B9B" w:rsidRPr="00FF760A">
        <w:rPr>
          <w:sz w:val="20"/>
          <w:szCs w:val="20"/>
        </w:rPr>
        <w:t>§431.296 (</w:t>
      </w:r>
      <w:r w:rsidR="00EC2B9B">
        <w:rPr>
          <w:sz w:val="20"/>
          <w:szCs w:val="20"/>
        </w:rPr>
        <w:t>b</w:t>
      </w:r>
      <w:r w:rsidR="00EC2B9B" w:rsidRPr="00FF760A">
        <w:rPr>
          <w:sz w:val="20"/>
          <w:szCs w:val="20"/>
        </w:rPr>
        <w:t>)</w:t>
      </w:r>
      <w:r w:rsidR="006B6484" w:rsidRPr="008C4E72">
        <w:t xml:space="preserve">. </w:t>
      </w:r>
      <w:r w:rsidR="006B6484">
        <w:t>A usage reduction rate, or the percentage of hours per day in sleep mode induced by the BMC, is calculated the ratio of the maximum sleep mode hours</w:t>
      </w:r>
      <w:r w:rsidR="007E2A3B">
        <w:t xml:space="preserve"> induced by the BMC</w:t>
      </w:r>
      <w:r w:rsidR="006B6484">
        <w:t xml:space="preserve"> divided by number of hours per day of refrigeration time prior to installation of the BMC. This analysis assumes without the BMC, the refrigeration was operating full-time, 24 hours. </w:t>
      </w:r>
      <w:r w:rsidR="00EC2B9B">
        <w:t xml:space="preserve">Further, </w:t>
      </w:r>
      <w:r w:rsidR="005633D5">
        <w:t xml:space="preserve">for a conservative </w:t>
      </w:r>
      <w:r w:rsidR="00EC2B9B">
        <w:t>analysis is calculated for a Class B type Beverage Vending Machine</w:t>
      </w:r>
      <w:r w:rsidR="005633D5">
        <w:t>, which assumes less than 25% of surface area of the front side of the machine is transparent. Class A type Beverage Vending Machines have higher energy usage allowances due to fenestration heat loss.</w:t>
      </w:r>
    </w:p>
    <w:p w14:paraId="645A7CED" w14:textId="46D4E345" w:rsidR="006B6484" w:rsidRPr="006B6484" w:rsidRDefault="00254D65" w:rsidP="0050633F">
      <w:pPr>
        <w:pStyle w:val="BodyText"/>
      </w:pPr>
      <m:oMathPara>
        <m:oMathParaPr>
          <m:jc m:val="left"/>
        </m:oMathParaPr>
        <m:oMath>
          <m:sSub>
            <m:sSubPr>
              <m:ctrlPr/>
            </m:sSubPr>
            <m:e>
              <m:r>
                <m:t>UES</m:t>
              </m:r>
            </m:e>
            <m:sub>
              <m:r>
                <m:t>ref BMC</m:t>
              </m:r>
            </m:sub>
          </m:sSub>
          <m:r>
            <m:t>=MDEC×Days×Usage Reduction Rate</m:t>
          </m:r>
        </m:oMath>
      </m:oMathPara>
    </w:p>
    <w:p w14:paraId="18118179" w14:textId="77777777" w:rsidR="006B6484" w:rsidRPr="008C4E72" w:rsidRDefault="006B6484" w:rsidP="0050633F">
      <w:pPr>
        <w:pStyle w:val="BodyText"/>
      </w:pPr>
    </w:p>
    <w:p w14:paraId="39C7A3F1" w14:textId="50DE6896" w:rsidR="000202D0" w:rsidRPr="006B6484" w:rsidRDefault="006B6484" w:rsidP="0050633F">
      <w:pPr>
        <w:pStyle w:val="BodyText"/>
      </w:pPr>
      <m:oMathPara>
        <m:oMathParaPr>
          <m:jc m:val="left"/>
        </m:oMathParaPr>
        <m:oMath>
          <m:r>
            <m:t>MDEC=(0.052 X V)+2.20</m:t>
          </m:r>
        </m:oMath>
      </m:oMathPara>
    </w:p>
    <w:p w14:paraId="1B8C5B2F" w14:textId="77777777" w:rsidR="006B6484" w:rsidRPr="008C4E72" w:rsidRDefault="006B6484" w:rsidP="0050633F">
      <w:pPr>
        <w:pStyle w:val="BodyText"/>
      </w:pPr>
    </w:p>
    <w:p w14:paraId="1BE69140" w14:textId="17DD39EB" w:rsidR="006816B8" w:rsidRPr="006816B8" w:rsidRDefault="006816B8" w:rsidP="0050633F">
      <w:pPr>
        <w:pStyle w:val="BodyText"/>
      </w:pPr>
      <m:oMathPara>
        <m:oMathParaPr>
          <m:jc m:val="left"/>
        </m:oMathParaPr>
        <m:oMath>
          <m:r>
            <m:t>Usage Reduction Rate =(</m:t>
          </m:r>
          <m:f>
            <m:fPr>
              <m:ctrlPr/>
            </m:fPr>
            <m:num>
              <m:r>
                <m:t>SleepHours</m:t>
              </m:r>
            </m:num>
            <m:den>
              <m:r>
                <m:t xml:space="preserve">24 </m:t>
              </m:r>
            </m:den>
          </m:f>
          <m:r>
            <m:t>)×100%</m:t>
          </m:r>
        </m:oMath>
      </m:oMathPara>
    </w:p>
    <w:p w14:paraId="453C57C2" w14:textId="276956CA" w:rsidR="007E2A3B" w:rsidRDefault="007E2A3B" w:rsidP="00FA1477">
      <w:pPr>
        <w:pStyle w:val="BodyText"/>
      </w:pPr>
      <w:proofErr w:type="spellStart"/>
      <w:r>
        <w:t>UES</w:t>
      </w:r>
      <w:r w:rsidRPr="007E2A3B">
        <w:rPr>
          <w:vertAlign w:val="subscript"/>
        </w:rPr>
        <w:t>ref</w:t>
      </w:r>
      <w:proofErr w:type="spellEnd"/>
      <w:r>
        <w:t xml:space="preserve"> = </w:t>
      </w:r>
      <w:r>
        <w:tab/>
        <w:t>Annual unit energy savings due to reduced refrigeration time (kWh)</w:t>
      </w:r>
    </w:p>
    <w:p w14:paraId="15D09D3C" w14:textId="02BE8E63" w:rsidR="007E2A3B" w:rsidRDefault="007E2A3B" w:rsidP="00FA1477">
      <w:pPr>
        <w:pStyle w:val="BodyText"/>
      </w:pPr>
      <w:r>
        <w:t xml:space="preserve">MDEC = </w:t>
      </w:r>
      <w:r>
        <w:tab/>
        <w:t>Maximum daily energy consumption (kWh)</w:t>
      </w:r>
    </w:p>
    <w:p w14:paraId="75E8E730" w14:textId="77777777" w:rsidR="0050633F" w:rsidRDefault="0050633F" w:rsidP="0050633F">
      <w:pPr>
        <w:pStyle w:val="BodyText"/>
      </w:pPr>
      <w:r>
        <w:t xml:space="preserve">V = </w:t>
      </w:r>
      <w:r>
        <w:tab/>
        <w:t>Refrigerator/freezer volume (ft</w:t>
      </w:r>
      <w:r w:rsidRPr="00496BD7">
        <w:rPr>
          <w:vertAlign w:val="superscript"/>
        </w:rPr>
        <w:t>3</w:t>
      </w:r>
      <w:r>
        <w:t>)</w:t>
      </w:r>
    </w:p>
    <w:p w14:paraId="6173DB6B" w14:textId="77777777" w:rsidR="007E2A3B" w:rsidRDefault="007E2A3B" w:rsidP="00FA1477">
      <w:pPr>
        <w:pStyle w:val="BodyText"/>
      </w:pPr>
      <w:r>
        <w:t xml:space="preserve">Days = </w:t>
      </w:r>
      <w:r>
        <w:tab/>
        <w:t>Days of operation per year</w:t>
      </w:r>
    </w:p>
    <w:p w14:paraId="55EB6126" w14:textId="688F2084" w:rsidR="00AA5501" w:rsidRDefault="006816B8" w:rsidP="00FA1477">
      <w:pPr>
        <w:pStyle w:val="BodyText"/>
      </w:pPr>
      <w:proofErr w:type="spellStart"/>
      <w:r>
        <w:t>SleepHours</w:t>
      </w:r>
      <w:proofErr w:type="spellEnd"/>
      <w:r>
        <w:t xml:space="preserve"> = </w:t>
      </w:r>
      <w:r>
        <w:tab/>
        <w:t>Maximum hours of sleep mode per day</w:t>
      </w:r>
    </w:p>
    <w:p w14:paraId="4E2C6563" w14:textId="77777777" w:rsidR="00AA5501" w:rsidRPr="008C4E72" w:rsidRDefault="00AA5501" w:rsidP="00C50011"/>
    <w:p w14:paraId="5C88FF19" w14:textId="1F6D8057" w:rsidR="00AA5501" w:rsidRDefault="00AA5501" w:rsidP="006B6484">
      <w:pPr>
        <w:pStyle w:val="Caption"/>
      </w:pPr>
      <w:r>
        <w:t>Energy Savings Input Parameters for Reduced Refrigeration of Beverage Vending Machines</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2941"/>
        <w:gridCol w:w="1652"/>
        <w:gridCol w:w="4757"/>
      </w:tblGrid>
      <w:tr w:rsidR="00AA5501" w:rsidRPr="00CA53C8" w14:paraId="0447B724" w14:textId="77777777" w:rsidTr="00372B3A">
        <w:trPr>
          <w:cantSplit/>
          <w:trHeight w:val="20"/>
          <w:tblHeader/>
        </w:trPr>
        <w:tc>
          <w:tcPr>
            <w:tcW w:w="2941" w:type="dxa"/>
            <w:shd w:val="clear" w:color="auto" w:fill="F2F2F2" w:themeFill="background1" w:themeFillShade="F2"/>
            <w:vAlign w:val="bottom"/>
          </w:tcPr>
          <w:p w14:paraId="0EAF4D9C" w14:textId="77777777" w:rsidR="00AA5501" w:rsidRPr="00CA53C8" w:rsidRDefault="00AA5501" w:rsidP="00372B3A">
            <w:pPr>
              <w:keepNext/>
              <w:keepLines/>
              <w:spacing w:before="20" w:after="20" w:line="220" w:lineRule="exact"/>
              <w:rPr>
                <w:rFonts w:cstheme="minorHAnsi"/>
                <w:b/>
                <w:sz w:val="20"/>
                <w:szCs w:val="20"/>
              </w:rPr>
            </w:pPr>
            <w:r>
              <w:rPr>
                <w:rFonts w:cstheme="minorHAnsi"/>
                <w:b/>
                <w:sz w:val="20"/>
                <w:szCs w:val="20"/>
              </w:rPr>
              <w:t>Parameter</w:t>
            </w:r>
          </w:p>
        </w:tc>
        <w:tc>
          <w:tcPr>
            <w:tcW w:w="1652" w:type="dxa"/>
            <w:shd w:val="clear" w:color="auto" w:fill="F2F2F2" w:themeFill="background1" w:themeFillShade="F2"/>
            <w:vAlign w:val="bottom"/>
          </w:tcPr>
          <w:p w14:paraId="7640FFE2" w14:textId="77777777" w:rsidR="00AA5501" w:rsidRPr="00CA53C8" w:rsidRDefault="00AA5501" w:rsidP="00372B3A">
            <w:pPr>
              <w:keepNext/>
              <w:keepLines/>
              <w:spacing w:before="20" w:after="20" w:line="220" w:lineRule="exact"/>
              <w:jc w:val="center"/>
              <w:rPr>
                <w:rFonts w:cstheme="minorHAnsi"/>
                <w:b/>
                <w:sz w:val="20"/>
                <w:szCs w:val="20"/>
              </w:rPr>
            </w:pPr>
            <w:r>
              <w:rPr>
                <w:rFonts w:cstheme="minorHAnsi"/>
                <w:b/>
                <w:sz w:val="20"/>
                <w:szCs w:val="20"/>
              </w:rPr>
              <w:t>Value</w:t>
            </w:r>
          </w:p>
        </w:tc>
        <w:tc>
          <w:tcPr>
            <w:tcW w:w="4757" w:type="dxa"/>
            <w:shd w:val="clear" w:color="auto" w:fill="F2F2F2" w:themeFill="background1" w:themeFillShade="F2"/>
            <w:vAlign w:val="bottom"/>
          </w:tcPr>
          <w:p w14:paraId="36A5735E" w14:textId="77777777" w:rsidR="00AA5501" w:rsidRDefault="00AA5501" w:rsidP="00372B3A">
            <w:pPr>
              <w:keepNext/>
              <w:keepLines/>
              <w:spacing w:before="20" w:after="20" w:line="220" w:lineRule="exact"/>
              <w:jc w:val="center"/>
              <w:rPr>
                <w:rFonts w:cstheme="minorHAnsi"/>
                <w:b/>
                <w:sz w:val="20"/>
                <w:szCs w:val="20"/>
              </w:rPr>
            </w:pPr>
            <w:r>
              <w:rPr>
                <w:rFonts w:cstheme="minorHAnsi"/>
                <w:b/>
                <w:sz w:val="20"/>
                <w:szCs w:val="20"/>
              </w:rPr>
              <w:t>Source</w:t>
            </w:r>
          </w:p>
        </w:tc>
      </w:tr>
      <w:tr w:rsidR="00AA5501" w:rsidRPr="006B6484" w14:paraId="1CE22D24" w14:textId="77777777" w:rsidTr="00372B3A">
        <w:trPr>
          <w:cantSplit/>
          <w:trHeight w:val="278"/>
        </w:trPr>
        <w:tc>
          <w:tcPr>
            <w:tcW w:w="2941" w:type="dxa"/>
            <w:vAlign w:val="center"/>
          </w:tcPr>
          <w:p w14:paraId="4E499953" w14:textId="7024E2CF" w:rsidR="00AA5501" w:rsidRPr="006B6484" w:rsidRDefault="00AA5501" w:rsidP="00372B3A">
            <w:pPr>
              <w:keepNext/>
              <w:keepLines/>
              <w:spacing w:before="20" w:after="20" w:line="220" w:lineRule="exact"/>
              <w:rPr>
                <w:rFonts w:cs="Calibri Light"/>
                <w:sz w:val="20"/>
                <w:szCs w:val="20"/>
              </w:rPr>
            </w:pPr>
            <w:r w:rsidRPr="006B6484">
              <w:rPr>
                <w:rFonts w:cs="Calibri Light"/>
                <w:sz w:val="20"/>
                <w:szCs w:val="20"/>
              </w:rPr>
              <w:t>Operating Days Per Year</w:t>
            </w:r>
          </w:p>
        </w:tc>
        <w:tc>
          <w:tcPr>
            <w:tcW w:w="1652" w:type="dxa"/>
            <w:vAlign w:val="center"/>
          </w:tcPr>
          <w:p w14:paraId="788BD64C" w14:textId="6AA333F4" w:rsidR="00AA5501" w:rsidRPr="00112334" w:rsidRDefault="00AA5501" w:rsidP="006B6484">
            <w:pPr>
              <w:keepNext/>
              <w:keepLines/>
              <w:spacing w:before="20" w:after="20" w:line="220" w:lineRule="exact"/>
              <w:ind w:right="523"/>
              <w:jc w:val="right"/>
              <w:rPr>
                <w:rFonts w:cs="Calibri Light"/>
                <w:sz w:val="20"/>
                <w:szCs w:val="20"/>
              </w:rPr>
            </w:pPr>
            <w:r w:rsidRPr="00112334">
              <w:rPr>
                <w:rFonts w:cs="Calibri Light"/>
                <w:sz w:val="20"/>
                <w:szCs w:val="20"/>
              </w:rPr>
              <w:t>365</w:t>
            </w:r>
          </w:p>
        </w:tc>
        <w:tc>
          <w:tcPr>
            <w:tcW w:w="4757" w:type="dxa"/>
            <w:vAlign w:val="center"/>
          </w:tcPr>
          <w:p w14:paraId="27A916F3" w14:textId="7C6FAFA3" w:rsidR="00AA5501" w:rsidRPr="006B6484" w:rsidRDefault="007E2A3B" w:rsidP="00372B3A">
            <w:pPr>
              <w:keepNext/>
              <w:keepLines/>
              <w:spacing w:before="20" w:after="20" w:line="220" w:lineRule="exact"/>
              <w:ind w:right="-24"/>
              <w:rPr>
                <w:rFonts w:cs="Calibri Light"/>
                <w:sz w:val="18"/>
                <w:szCs w:val="18"/>
              </w:rPr>
            </w:pPr>
            <w:r>
              <w:rPr>
                <w:rFonts w:cs="Calibri Light"/>
                <w:sz w:val="18"/>
                <w:szCs w:val="18"/>
              </w:rPr>
              <w:t>Typical a</w:t>
            </w:r>
            <w:r w:rsidR="006B6484" w:rsidRPr="006B6484">
              <w:rPr>
                <w:rFonts w:cs="Calibri Light"/>
                <w:sz w:val="18"/>
                <w:szCs w:val="18"/>
              </w:rPr>
              <w:t>ssumption.</w:t>
            </w:r>
          </w:p>
        </w:tc>
      </w:tr>
      <w:tr w:rsidR="00AA5501" w:rsidRPr="006B6484" w14:paraId="207ACBE0" w14:textId="77777777" w:rsidTr="00372B3A">
        <w:trPr>
          <w:cantSplit/>
          <w:trHeight w:val="278"/>
        </w:trPr>
        <w:tc>
          <w:tcPr>
            <w:tcW w:w="2941" w:type="dxa"/>
            <w:vAlign w:val="center"/>
          </w:tcPr>
          <w:p w14:paraId="2BEA6EC8" w14:textId="6EF42E6D" w:rsidR="00AA5501" w:rsidRPr="006B6484" w:rsidRDefault="00AA5501" w:rsidP="00372B3A">
            <w:pPr>
              <w:keepNext/>
              <w:keepLines/>
              <w:spacing w:before="20" w:after="20" w:line="220" w:lineRule="exact"/>
              <w:rPr>
                <w:rFonts w:cs="Calibri Light"/>
                <w:sz w:val="20"/>
                <w:szCs w:val="20"/>
              </w:rPr>
            </w:pPr>
            <w:r w:rsidRPr="006B6484">
              <w:rPr>
                <w:rFonts w:cs="Calibri Light"/>
                <w:sz w:val="20"/>
                <w:szCs w:val="20"/>
              </w:rPr>
              <w:t>Capacity (12-ounce cans)</w:t>
            </w:r>
          </w:p>
        </w:tc>
        <w:tc>
          <w:tcPr>
            <w:tcW w:w="1652" w:type="dxa"/>
            <w:vAlign w:val="center"/>
          </w:tcPr>
          <w:p w14:paraId="5BA8CB0B" w14:textId="62AAC35E" w:rsidR="00AA5501" w:rsidRPr="00112334" w:rsidRDefault="00AA5501" w:rsidP="006B6484">
            <w:pPr>
              <w:keepNext/>
              <w:keepLines/>
              <w:spacing w:before="20" w:after="20" w:line="220" w:lineRule="exact"/>
              <w:ind w:right="523"/>
              <w:jc w:val="right"/>
              <w:rPr>
                <w:rFonts w:cs="Calibri Light"/>
                <w:sz w:val="20"/>
                <w:szCs w:val="20"/>
              </w:rPr>
            </w:pPr>
            <w:r w:rsidRPr="00112334">
              <w:rPr>
                <w:rFonts w:cs="Calibri Light"/>
                <w:sz w:val="20"/>
                <w:szCs w:val="20"/>
              </w:rPr>
              <w:t>450</w:t>
            </w:r>
          </w:p>
        </w:tc>
        <w:tc>
          <w:tcPr>
            <w:tcW w:w="4757" w:type="dxa"/>
            <w:vAlign w:val="center"/>
          </w:tcPr>
          <w:p w14:paraId="75823D69" w14:textId="01CCAF81" w:rsidR="00AA5501" w:rsidRPr="006B6484" w:rsidRDefault="00AA5501" w:rsidP="00372B3A">
            <w:pPr>
              <w:keepNext/>
              <w:keepLines/>
              <w:spacing w:before="20" w:after="20" w:line="220" w:lineRule="exact"/>
              <w:ind w:right="-24"/>
              <w:rPr>
                <w:rFonts w:cs="Calibri Light"/>
                <w:sz w:val="18"/>
                <w:szCs w:val="18"/>
                <w:highlight w:val="yellow"/>
              </w:rPr>
            </w:pPr>
            <w:r w:rsidRPr="006B6484">
              <w:rPr>
                <w:rFonts w:cs="Calibri Light"/>
                <w:sz w:val="18"/>
                <w:szCs w:val="18"/>
              </w:rPr>
              <w:t>Houghton, David PE. 1996. “Refrigerated Vending Machines - Overlooked Devices Hold Opportunities for Efficiency, New Services.” E Source Tech Update, TU-96-7.</w:t>
            </w:r>
          </w:p>
        </w:tc>
      </w:tr>
      <w:tr w:rsidR="00AA5501" w:rsidRPr="006B6484" w14:paraId="7C3EA22C" w14:textId="77777777" w:rsidTr="00372B3A">
        <w:trPr>
          <w:cantSplit/>
          <w:trHeight w:val="278"/>
        </w:trPr>
        <w:tc>
          <w:tcPr>
            <w:tcW w:w="294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1EC050D" w14:textId="3B88992C" w:rsidR="00AA5501" w:rsidRPr="006B6484" w:rsidRDefault="006816B8" w:rsidP="00372B3A">
            <w:pPr>
              <w:keepNext/>
              <w:keepLines/>
              <w:spacing w:before="20" w:after="20" w:line="220" w:lineRule="exact"/>
              <w:rPr>
                <w:rFonts w:cs="Calibri Light"/>
                <w:sz w:val="20"/>
                <w:szCs w:val="20"/>
              </w:rPr>
            </w:pPr>
            <w:r w:rsidRPr="006B6484">
              <w:rPr>
                <w:rFonts w:cs="Calibri Light"/>
                <w:sz w:val="20"/>
                <w:szCs w:val="20"/>
              </w:rPr>
              <w:t>Sleep mode hours (hours/day)</w:t>
            </w:r>
          </w:p>
        </w:tc>
        <w:tc>
          <w:tcPr>
            <w:tcW w:w="16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68A91CC" w14:textId="0268F48C" w:rsidR="00AA5501" w:rsidRPr="00112334" w:rsidRDefault="006816B8" w:rsidP="006B6484">
            <w:pPr>
              <w:keepNext/>
              <w:keepLines/>
              <w:spacing w:before="20" w:after="20" w:line="220" w:lineRule="exact"/>
              <w:ind w:right="523"/>
              <w:jc w:val="right"/>
              <w:rPr>
                <w:rFonts w:cs="Calibri Light"/>
                <w:sz w:val="20"/>
                <w:szCs w:val="20"/>
              </w:rPr>
            </w:pPr>
            <w:r w:rsidRPr="00112334">
              <w:rPr>
                <w:rFonts w:cs="Calibri Light"/>
                <w:sz w:val="20"/>
                <w:szCs w:val="20"/>
              </w:rPr>
              <w:t>4</w:t>
            </w:r>
          </w:p>
        </w:tc>
        <w:tc>
          <w:tcPr>
            <w:tcW w:w="475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D08234A" w14:textId="17D6F839" w:rsidR="00AA5501" w:rsidRPr="006B6484" w:rsidRDefault="006816B8" w:rsidP="00372B3A">
            <w:pPr>
              <w:keepNext/>
              <w:keepLines/>
              <w:spacing w:before="20" w:after="20" w:line="220" w:lineRule="exact"/>
              <w:ind w:right="-24"/>
              <w:rPr>
                <w:rFonts w:cs="Calibri Light"/>
                <w:sz w:val="18"/>
                <w:szCs w:val="18"/>
                <w:highlight w:val="yellow"/>
              </w:rPr>
            </w:pPr>
            <w:proofErr w:type="spellStart"/>
            <w:r w:rsidRPr="006B6484">
              <w:rPr>
                <w:rFonts w:cs="Calibri Light"/>
                <w:sz w:val="18"/>
                <w:szCs w:val="18"/>
              </w:rPr>
              <w:t>Itron</w:t>
            </w:r>
            <w:proofErr w:type="spellEnd"/>
            <w:r w:rsidRPr="006B6484">
              <w:rPr>
                <w:rFonts w:cs="Calibri Light"/>
                <w:sz w:val="18"/>
                <w:szCs w:val="18"/>
              </w:rPr>
              <w:t xml:space="preserve">, Inc. 2005. </w:t>
            </w:r>
            <w:r w:rsidRPr="006B6484">
              <w:rPr>
                <w:rFonts w:cs="Calibri Light"/>
                <w:i/>
                <w:sz w:val="18"/>
                <w:szCs w:val="18"/>
              </w:rPr>
              <w:t>2004-2005 Database for Energy Efficiency Resources (DEER) Update Study - Final Report.</w:t>
            </w:r>
            <w:r w:rsidRPr="006B6484">
              <w:rPr>
                <w:rFonts w:cs="Calibri Light"/>
                <w:sz w:val="18"/>
                <w:szCs w:val="18"/>
              </w:rPr>
              <w:t xml:space="preserve"> Prepared for the California Public Utilities Commission.</w:t>
            </w:r>
          </w:p>
        </w:tc>
      </w:tr>
    </w:tbl>
    <w:p w14:paraId="60815439" w14:textId="77777777" w:rsidR="00AA5501" w:rsidRDefault="00AA5501" w:rsidP="00193CA7"/>
    <w:p w14:paraId="4BFF6A2B" w14:textId="2CBB2A4C" w:rsidR="000202D0" w:rsidRPr="008C4E72" w:rsidRDefault="00F07447" w:rsidP="00112334">
      <w:pPr>
        <w:pStyle w:val="eTRMHeading4"/>
        <w:rPr>
          <w:iCs/>
          <w:smallCaps/>
        </w:rPr>
      </w:pPr>
      <w:r>
        <w:t>R</w:t>
      </w:r>
      <w:r w:rsidRPr="007D7024">
        <w:t xml:space="preserve">eduction </w:t>
      </w:r>
      <w:r>
        <w:t>of</w:t>
      </w:r>
      <w:r w:rsidRPr="007D7024">
        <w:t xml:space="preserve"> </w:t>
      </w:r>
      <w:r>
        <w:t>R</w:t>
      </w:r>
      <w:r w:rsidRPr="007D7024">
        <w:t xml:space="preserve">efrigeration </w:t>
      </w:r>
      <w:r>
        <w:t>T</w:t>
      </w:r>
      <w:r w:rsidRPr="007D7024">
        <w:t>ime</w:t>
      </w:r>
      <w:r w:rsidRPr="008C4E72">
        <w:t xml:space="preserve"> </w:t>
      </w:r>
      <w:r>
        <w:t>of C</w:t>
      </w:r>
      <w:r w:rsidR="000202D0" w:rsidRPr="008C4E72">
        <w:t xml:space="preserve">ommercial </w:t>
      </w:r>
      <w:r>
        <w:t>R</w:t>
      </w:r>
      <w:r w:rsidR="000202D0" w:rsidRPr="008C4E72">
        <w:t xml:space="preserve">efrigerators, </w:t>
      </w:r>
      <w:r>
        <w:t>R</w:t>
      </w:r>
      <w:r w:rsidR="000202D0" w:rsidRPr="008C4E72">
        <w:t xml:space="preserve">efrigerator-freezers, and </w:t>
      </w:r>
      <w:r>
        <w:t>F</w:t>
      </w:r>
      <w:r w:rsidR="000202D0" w:rsidRPr="008C4E72">
        <w:t>reezers</w:t>
      </w:r>
    </w:p>
    <w:p w14:paraId="205E2419" w14:textId="58F95463" w:rsidR="007E2A3B" w:rsidRPr="008C4E72" w:rsidRDefault="007E2A3B" w:rsidP="007E2A3B">
      <w:r>
        <w:t xml:space="preserve">The reduction of refrigeration time as a result of a beverage vending machine controller (BMC) is a function of the daily energy consumption of the appliance, the rated </w:t>
      </w:r>
      <w:r w:rsidR="00CF5889">
        <w:t>volume</w:t>
      </w:r>
      <w:r>
        <w:t xml:space="preserve"> of the appliance, and the maximum hours of “sleep mode” per day as a result of the controller. </w:t>
      </w:r>
      <w:r w:rsidRPr="008C4E72">
        <w:t xml:space="preserve">The base case energy usage is </w:t>
      </w:r>
      <w:r>
        <w:t>based upon the California Appliance Efficiency Regulations (Title 20)</w:t>
      </w:r>
      <w:r w:rsidRPr="008C4E72">
        <w:t xml:space="preserve"> for glass door reach-in refrigerators</w:t>
      </w:r>
      <w:r>
        <w:t>.</w:t>
      </w:r>
      <w:r>
        <w:rPr>
          <w:rStyle w:val="FootnoteReference"/>
        </w:rPr>
        <w:footnoteReference w:id="8"/>
      </w:r>
      <w:r>
        <w:t xml:space="preserve"> A usage reduction rate, or the percentage of hours per day in sleep mode induced by the BMC, is </w:t>
      </w:r>
      <w:r>
        <w:lastRenderedPageBreak/>
        <w:t>calculated the ratio of the maximum sleep mode hours induced by the BMC divided by number of hours per day of refrigeration time prior to installation of the BMC. This analysis assumes without the BMC, the refrigeration was operating full-time, 24 hours.</w:t>
      </w:r>
    </w:p>
    <w:p w14:paraId="78F82F64" w14:textId="6E500005" w:rsidR="007E2A3B" w:rsidRPr="006B6484" w:rsidRDefault="00254D65" w:rsidP="0050633F">
      <w:pPr>
        <w:pStyle w:val="BodyText"/>
      </w:pPr>
      <m:oMathPara>
        <m:oMathParaPr>
          <m:jc m:val="left"/>
        </m:oMathParaPr>
        <m:oMath>
          <m:sSub>
            <m:sSubPr>
              <m:ctrlPr/>
            </m:sSubPr>
            <m:e>
              <m:r>
                <m:t>UES</m:t>
              </m:r>
            </m:e>
            <m:sub>
              <m:r>
                <m:t>ref app</m:t>
              </m:r>
            </m:sub>
          </m:sSub>
          <m:r>
            <m:t>=MDEC×Days×Usage Reduction Rate</m:t>
          </m:r>
        </m:oMath>
      </m:oMathPara>
    </w:p>
    <w:p w14:paraId="643F0676" w14:textId="77777777" w:rsidR="007E2A3B" w:rsidRPr="008C4E72" w:rsidRDefault="007E2A3B" w:rsidP="0050633F">
      <w:pPr>
        <w:pStyle w:val="BodyText"/>
      </w:pPr>
    </w:p>
    <w:p w14:paraId="60E7D5E0" w14:textId="10A8302E" w:rsidR="007E2A3B" w:rsidRPr="006B6484" w:rsidRDefault="007E2A3B" w:rsidP="0050633F">
      <w:pPr>
        <w:pStyle w:val="BodyText"/>
      </w:pPr>
      <m:oMathPara>
        <m:oMathParaPr>
          <m:jc m:val="left"/>
        </m:oMathParaPr>
        <m:oMath>
          <m:r>
            <m:t>MDEC=</m:t>
          </m:r>
          <m:d>
            <m:dPr>
              <m:ctrlPr/>
            </m:dPr>
            <m:e>
              <m:r>
                <m:t>0.12× V</m:t>
              </m:r>
            </m:e>
          </m:d>
          <m:r>
            <m:t>+3.34</m:t>
          </m:r>
        </m:oMath>
      </m:oMathPara>
    </w:p>
    <w:p w14:paraId="3904D9A0" w14:textId="77777777" w:rsidR="007E2A3B" w:rsidRPr="008C4E72" w:rsidRDefault="007E2A3B" w:rsidP="0050633F">
      <w:pPr>
        <w:pStyle w:val="BodyText"/>
      </w:pPr>
    </w:p>
    <w:p w14:paraId="0A1DB482" w14:textId="77777777" w:rsidR="007E2A3B" w:rsidRPr="006816B8" w:rsidRDefault="007E2A3B" w:rsidP="0050633F">
      <w:pPr>
        <w:pStyle w:val="BodyText"/>
      </w:pPr>
      <m:oMathPara>
        <m:oMathParaPr>
          <m:jc m:val="left"/>
        </m:oMathParaPr>
        <m:oMath>
          <m:r>
            <m:t>Usage Reduction Rate =(</m:t>
          </m:r>
          <m:f>
            <m:fPr>
              <m:ctrlPr/>
            </m:fPr>
            <m:num>
              <m:r>
                <m:t>SleepHours</m:t>
              </m:r>
            </m:num>
            <m:den>
              <m:r>
                <m:t xml:space="preserve">24 </m:t>
              </m:r>
            </m:den>
          </m:f>
          <m:r>
            <m:t>)×100%</m:t>
          </m:r>
        </m:oMath>
      </m:oMathPara>
    </w:p>
    <w:p w14:paraId="49EA8994" w14:textId="45ACBE38" w:rsidR="007E2A3B" w:rsidRDefault="007E2A3B" w:rsidP="007E2A3B"/>
    <w:p w14:paraId="6FC4888F" w14:textId="77777777" w:rsidR="00496BD7" w:rsidRDefault="00496BD7" w:rsidP="00022644">
      <w:pPr>
        <w:pStyle w:val="BodyText"/>
      </w:pPr>
      <w:proofErr w:type="spellStart"/>
      <w:r>
        <w:t>UES</w:t>
      </w:r>
      <w:r w:rsidRPr="007E2A3B">
        <w:rPr>
          <w:vertAlign w:val="subscript"/>
        </w:rPr>
        <w:t>ref</w:t>
      </w:r>
      <w:proofErr w:type="spellEnd"/>
      <w:r>
        <w:t xml:space="preserve"> = </w:t>
      </w:r>
      <w:r>
        <w:tab/>
        <w:t>Annual unit energy savings due to reduced refrigeration time (kWh)</w:t>
      </w:r>
    </w:p>
    <w:p w14:paraId="61B7BE3F" w14:textId="77777777" w:rsidR="00496BD7" w:rsidRDefault="00496BD7" w:rsidP="00022644">
      <w:pPr>
        <w:pStyle w:val="BodyText"/>
      </w:pPr>
      <w:r>
        <w:t xml:space="preserve">MDEC = </w:t>
      </w:r>
      <w:r>
        <w:tab/>
        <w:t>Maximum daily energy consumption (kWh)</w:t>
      </w:r>
    </w:p>
    <w:p w14:paraId="610A7118" w14:textId="4C65EFA2" w:rsidR="00496BD7" w:rsidRDefault="00496BD7" w:rsidP="00022644">
      <w:pPr>
        <w:pStyle w:val="BodyText"/>
      </w:pPr>
      <w:r>
        <w:t xml:space="preserve">V = </w:t>
      </w:r>
      <w:r>
        <w:tab/>
        <w:t>Refrigerator/freezer volume (ft</w:t>
      </w:r>
      <w:r w:rsidRPr="00496BD7">
        <w:rPr>
          <w:vertAlign w:val="superscript"/>
        </w:rPr>
        <w:t>3</w:t>
      </w:r>
      <w:r>
        <w:t>)</w:t>
      </w:r>
    </w:p>
    <w:p w14:paraId="68A1895F" w14:textId="77777777" w:rsidR="00496BD7" w:rsidRDefault="00496BD7" w:rsidP="00022644">
      <w:pPr>
        <w:pStyle w:val="BodyText"/>
      </w:pPr>
      <w:r>
        <w:t xml:space="preserve">Days = </w:t>
      </w:r>
      <w:r>
        <w:tab/>
        <w:t>Days of operation per year</w:t>
      </w:r>
    </w:p>
    <w:p w14:paraId="181FF1AF" w14:textId="77777777" w:rsidR="00496BD7" w:rsidRDefault="00496BD7" w:rsidP="00022644">
      <w:pPr>
        <w:pStyle w:val="BodyText"/>
      </w:pPr>
      <w:proofErr w:type="spellStart"/>
      <w:r>
        <w:t>SleepHours</w:t>
      </w:r>
      <w:proofErr w:type="spellEnd"/>
      <w:r>
        <w:t xml:space="preserve"> = </w:t>
      </w:r>
      <w:r>
        <w:tab/>
        <w:t>Maximum hours of sleep mode per day</w:t>
      </w:r>
    </w:p>
    <w:p w14:paraId="011EF73B" w14:textId="671D9B83" w:rsidR="00856EB8" w:rsidRDefault="00856EB8" w:rsidP="00856EB8">
      <w:bookmarkStart w:id="40" w:name="_Hlk505351461"/>
    </w:p>
    <w:p w14:paraId="41C50E02" w14:textId="7DB64106" w:rsidR="00405B5B" w:rsidRDefault="00405B5B" w:rsidP="00405B5B">
      <w:r w:rsidRPr="00F04CEF">
        <w:t xml:space="preserve">It is worth noting that, for beverage coolers with volumes greater than 49 </w:t>
      </w:r>
      <w:r w:rsidR="00C50011">
        <w:t>ft</w:t>
      </w:r>
      <w:r w:rsidR="00C50011" w:rsidRPr="00C50011">
        <w:rPr>
          <w:vertAlign w:val="superscript"/>
        </w:rPr>
        <w:t>3</w:t>
      </w:r>
      <w:r w:rsidRPr="00F04CEF">
        <w:t>, the power source for the built-in compressor can be a 208/240VAC single phase circuit. The BMC described in this workpaper, which is rated for 120</w:t>
      </w:r>
      <w:r w:rsidR="00C50011">
        <w:t xml:space="preserve"> </w:t>
      </w:r>
      <w:r w:rsidRPr="00F04CEF">
        <w:t>VAC applications, may not be used for this application. For energy savings claims for such coolers, a BMC specification need</w:t>
      </w:r>
      <w:r w:rsidR="00C50011">
        <w:t>s</w:t>
      </w:r>
      <w:r w:rsidRPr="00F04CEF">
        <w:t xml:space="preserve"> to be submitted for validation purposes.</w:t>
      </w:r>
    </w:p>
    <w:p w14:paraId="53E98BA0" w14:textId="0610F77A" w:rsidR="009E0290" w:rsidRDefault="009E0290" w:rsidP="00405B5B">
      <w:r w:rsidRPr="009E0290">
        <w:rPr>
          <w:rStyle w:val="CaptionChar"/>
        </w:rPr>
        <w:t>Refrigerated Volume</w:t>
      </w:r>
      <w:r>
        <w:rPr>
          <w:rStyle w:val="FootnoteReference"/>
        </w:rPr>
        <w:footnoteReference w:id="9"/>
      </w:r>
    </w:p>
    <w:tbl>
      <w:tblPr>
        <w:tblW w:w="4858"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2247"/>
        <w:gridCol w:w="1708"/>
        <w:gridCol w:w="1440"/>
        <w:gridCol w:w="1800"/>
        <w:gridCol w:w="1889"/>
      </w:tblGrid>
      <w:tr w:rsidR="009E0290" w14:paraId="5C876E46" w14:textId="327B1C37" w:rsidTr="009E0290">
        <w:trPr>
          <w:cantSplit/>
          <w:trHeight w:val="20"/>
          <w:tblHeader/>
        </w:trPr>
        <w:tc>
          <w:tcPr>
            <w:tcW w:w="2247" w:type="dxa"/>
            <w:shd w:val="clear" w:color="auto" w:fill="F2F2F2" w:themeFill="background1" w:themeFillShade="F2"/>
            <w:vAlign w:val="center"/>
          </w:tcPr>
          <w:p w14:paraId="5277E2AB" w14:textId="06BF6ED4" w:rsidR="009E0290" w:rsidRPr="00CA53C8" w:rsidRDefault="009E0290" w:rsidP="009E0290">
            <w:pPr>
              <w:keepNext/>
              <w:keepLines/>
              <w:spacing w:before="20" w:after="20" w:line="220" w:lineRule="exact"/>
              <w:jc w:val="center"/>
              <w:rPr>
                <w:rFonts w:cstheme="minorHAnsi"/>
                <w:b/>
                <w:sz w:val="20"/>
                <w:szCs w:val="20"/>
              </w:rPr>
            </w:pPr>
            <w:r>
              <w:rPr>
                <w:rFonts w:cstheme="minorHAnsi"/>
                <w:b/>
                <w:sz w:val="20"/>
                <w:szCs w:val="20"/>
              </w:rPr>
              <w:t>Measure Name</w:t>
            </w:r>
          </w:p>
        </w:tc>
        <w:tc>
          <w:tcPr>
            <w:tcW w:w="1708" w:type="dxa"/>
            <w:shd w:val="clear" w:color="auto" w:fill="F2F2F2" w:themeFill="background1" w:themeFillShade="F2"/>
            <w:vAlign w:val="center"/>
          </w:tcPr>
          <w:p w14:paraId="5C3F99F4" w14:textId="750779A1" w:rsidR="009E0290" w:rsidRPr="00CA53C8" w:rsidRDefault="009E0290" w:rsidP="009E0290">
            <w:pPr>
              <w:keepNext/>
              <w:keepLines/>
              <w:spacing w:before="20" w:after="20" w:line="220" w:lineRule="exact"/>
              <w:jc w:val="center"/>
              <w:rPr>
                <w:rFonts w:cstheme="minorHAnsi"/>
                <w:b/>
                <w:sz w:val="20"/>
                <w:szCs w:val="20"/>
              </w:rPr>
            </w:pPr>
            <w:r>
              <w:rPr>
                <w:rFonts w:cstheme="minorHAnsi"/>
                <w:b/>
                <w:sz w:val="20"/>
                <w:szCs w:val="20"/>
              </w:rPr>
              <w:t>One Door Under Counter Beverage Merchandise Cooler Control</w:t>
            </w:r>
          </w:p>
        </w:tc>
        <w:tc>
          <w:tcPr>
            <w:tcW w:w="1440" w:type="dxa"/>
            <w:shd w:val="clear" w:color="auto" w:fill="F2F2F2" w:themeFill="background1" w:themeFillShade="F2"/>
            <w:vAlign w:val="center"/>
          </w:tcPr>
          <w:p w14:paraId="0F020BB2" w14:textId="3AD27541" w:rsidR="009E0290" w:rsidRDefault="009E0290" w:rsidP="009E0290">
            <w:pPr>
              <w:keepNext/>
              <w:keepLines/>
              <w:spacing w:before="20" w:after="20" w:line="220" w:lineRule="exact"/>
              <w:jc w:val="center"/>
              <w:rPr>
                <w:rFonts w:cstheme="minorHAnsi"/>
                <w:b/>
                <w:sz w:val="20"/>
                <w:szCs w:val="20"/>
              </w:rPr>
            </w:pPr>
            <w:r>
              <w:rPr>
                <w:rFonts w:cstheme="minorHAnsi"/>
                <w:b/>
                <w:sz w:val="20"/>
                <w:szCs w:val="20"/>
              </w:rPr>
              <w:t>One Door Beverage Merchandise Cooler Control</w:t>
            </w:r>
          </w:p>
        </w:tc>
        <w:tc>
          <w:tcPr>
            <w:tcW w:w="1800" w:type="dxa"/>
            <w:shd w:val="clear" w:color="auto" w:fill="F2F2F2" w:themeFill="background1" w:themeFillShade="F2"/>
            <w:vAlign w:val="center"/>
          </w:tcPr>
          <w:p w14:paraId="335C5D9B" w14:textId="2AB77DC5" w:rsidR="009E0290" w:rsidRDefault="009E0290" w:rsidP="009E0290">
            <w:pPr>
              <w:keepNext/>
              <w:keepLines/>
              <w:spacing w:before="20" w:after="20" w:line="220" w:lineRule="exact"/>
              <w:jc w:val="center"/>
              <w:rPr>
                <w:rFonts w:cstheme="minorHAnsi"/>
                <w:b/>
                <w:sz w:val="20"/>
                <w:szCs w:val="20"/>
              </w:rPr>
            </w:pPr>
            <w:r>
              <w:rPr>
                <w:rFonts w:cstheme="minorHAnsi"/>
                <w:b/>
                <w:sz w:val="20"/>
                <w:szCs w:val="20"/>
              </w:rPr>
              <w:t>Double Door Beverage Merchandise Cooler Control</w:t>
            </w:r>
          </w:p>
        </w:tc>
        <w:tc>
          <w:tcPr>
            <w:tcW w:w="1889" w:type="dxa"/>
            <w:shd w:val="clear" w:color="auto" w:fill="F2F2F2" w:themeFill="background1" w:themeFillShade="F2"/>
            <w:vAlign w:val="center"/>
          </w:tcPr>
          <w:p w14:paraId="37F63B34" w14:textId="1E306C4A" w:rsidR="009E0290" w:rsidRDefault="009E0290" w:rsidP="009E0290">
            <w:pPr>
              <w:keepNext/>
              <w:keepLines/>
              <w:spacing w:before="20" w:after="20" w:line="220" w:lineRule="exact"/>
              <w:jc w:val="center"/>
              <w:rPr>
                <w:rFonts w:cstheme="minorHAnsi"/>
                <w:b/>
                <w:sz w:val="20"/>
                <w:szCs w:val="20"/>
              </w:rPr>
            </w:pPr>
            <w:r>
              <w:rPr>
                <w:rFonts w:cstheme="minorHAnsi"/>
                <w:b/>
                <w:sz w:val="20"/>
                <w:szCs w:val="20"/>
              </w:rPr>
              <w:t>Triple Door Beverage Merchandise Cooler Control</w:t>
            </w:r>
          </w:p>
        </w:tc>
      </w:tr>
      <w:tr w:rsidR="009E0290" w:rsidRPr="006B6484" w14:paraId="338A67A0" w14:textId="7C4A0FD4" w:rsidTr="009E0290">
        <w:trPr>
          <w:cantSplit/>
          <w:trHeight w:val="278"/>
        </w:trPr>
        <w:tc>
          <w:tcPr>
            <w:tcW w:w="2247" w:type="dxa"/>
            <w:vAlign w:val="center"/>
          </w:tcPr>
          <w:p w14:paraId="529E5FA0" w14:textId="1D934ED6" w:rsidR="009E0290" w:rsidRPr="009E0290" w:rsidRDefault="009E0290" w:rsidP="009E0290">
            <w:pPr>
              <w:keepNext/>
              <w:keepLines/>
              <w:spacing w:before="20" w:after="20" w:line="220" w:lineRule="exact"/>
              <w:jc w:val="center"/>
              <w:rPr>
                <w:rFonts w:cs="Calibri Light"/>
                <w:sz w:val="20"/>
                <w:szCs w:val="20"/>
              </w:rPr>
            </w:pPr>
            <w:r w:rsidRPr="009E0290">
              <w:rPr>
                <w:rFonts w:cs="Calibri Light"/>
                <w:sz w:val="20"/>
                <w:szCs w:val="20"/>
              </w:rPr>
              <w:t>Nominal Volume Range (ft</w:t>
            </w:r>
            <w:r w:rsidRPr="009E0290">
              <w:rPr>
                <w:rFonts w:cs="Calibri Light"/>
                <w:sz w:val="20"/>
                <w:szCs w:val="20"/>
                <w:vertAlign w:val="superscript"/>
              </w:rPr>
              <w:t>3</w:t>
            </w:r>
            <w:r w:rsidRPr="009E0290">
              <w:rPr>
                <w:rFonts w:cs="Calibri Light"/>
                <w:sz w:val="20"/>
                <w:szCs w:val="20"/>
              </w:rPr>
              <w:t>)</w:t>
            </w:r>
          </w:p>
        </w:tc>
        <w:tc>
          <w:tcPr>
            <w:tcW w:w="1708" w:type="dxa"/>
            <w:vAlign w:val="center"/>
          </w:tcPr>
          <w:p w14:paraId="20C7620E" w14:textId="7AA8810C" w:rsidR="009E0290" w:rsidRPr="009E0290" w:rsidRDefault="009E0290" w:rsidP="009E0290">
            <w:pPr>
              <w:keepNext/>
              <w:keepLines/>
              <w:spacing w:before="20" w:after="20" w:line="220" w:lineRule="exact"/>
              <w:ind w:right="523"/>
              <w:jc w:val="center"/>
              <w:rPr>
                <w:rFonts w:cs="Calibri Light"/>
                <w:sz w:val="20"/>
                <w:szCs w:val="20"/>
              </w:rPr>
            </w:pPr>
            <w:r w:rsidRPr="009E0290">
              <w:rPr>
                <w:rFonts w:cs="Calibri Light"/>
                <w:sz w:val="20"/>
                <w:szCs w:val="20"/>
              </w:rPr>
              <w:t>&lt; 15</w:t>
            </w:r>
          </w:p>
        </w:tc>
        <w:tc>
          <w:tcPr>
            <w:tcW w:w="1440" w:type="dxa"/>
            <w:vAlign w:val="center"/>
          </w:tcPr>
          <w:p w14:paraId="1C098044" w14:textId="6CBDE721" w:rsidR="009E0290" w:rsidRPr="009E0290" w:rsidRDefault="009E0290" w:rsidP="009E0290">
            <w:pPr>
              <w:keepNext/>
              <w:keepLines/>
              <w:spacing w:before="20" w:after="20" w:line="220" w:lineRule="exact"/>
              <w:ind w:right="-24"/>
              <w:jc w:val="center"/>
              <w:rPr>
                <w:rFonts w:cs="Calibri Light"/>
                <w:sz w:val="18"/>
                <w:szCs w:val="18"/>
              </w:rPr>
            </w:pPr>
            <w:r>
              <w:rPr>
                <w:rFonts w:cs="Calibri Light"/>
                <w:sz w:val="18"/>
                <w:szCs w:val="18"/>
              </w:rPr>
              <w:t xml:space="preserve">15 - </w:t>
            </w:r>
            <w:r w:rsidRPr="009E0290">
              <w:rPr>
                <w:rFonts w:cs="Calibri Light"/>
                <w:sz w:val="18"/>
                <w:szCs w:val="18"/>
              </w:rPr>
              <w:t>29</w:t>
            </w:r>
          </w:p>
        </w:tc>
        <w:tc>
          <w:tcPr>
            <w:tcW w:w="1800" w:type="dxa"/>
            <w:vAlign w:val="center"/>
          </w:tcPr>
          <w:p w14:paraId="389EB4A0" w14:textId="08734AD8" w:rsidR="009E0290" w:rsidRPr="009E0290" w:rsidRDefault="009E0290" w:rsidP="009E0290">
            <w:pPr>
              <w:keepNext/>
              <w:keepLines/>
              <w:spacing w:before="20" w:after="20" w:line="220" w:lineRule="exact"/>
              <w:ind w:right="-24"/>
              <w:jc w:val="center"/>
              <w:rPr>
                <w:rFonts w:cs="Calibri Light"/>
                <w:sz w:val="18"/>
                <w:szCs w:val="18"/>
              </w:rPr>
            </w:pPr>
            <w:r>
              <w:rPr>
                <w:rFonts w:cs="Calibri Light"/>
                <w:sz w:val="18"/>
                <w:szCs w:val="18"/>
              </w:rPr>
              <w:t xml:space="preserve">29 - </w:t>
            </w:r>
            <w:r w:rsidRPr="009E0290">
              <w:rPr>
                <w:rFonts w:cs="Calibri Light"/>
                <w:sz w:val="18"/>
                <w:szCs w:val="18"/>
              </w:rPr>
              <w:t>49</w:t>
            </w:r>
          </w:p>
        </w:tc>
        <w:tc>
          <w:tcPr>
            <w:tcW w:w="1889" w:type="dxa"/>
            <w:vAlign w:val="center"/>
          </w:tcPr>
          <w:p w14:paraId="404E4555" w14:textId="4151CF08" w:rsidR="009E0290" w:rsidRPr="009E0290" w:rsidRDefault="009E0290" w:rsidP="009E0290">
            <w:pPr>
              <w:keepNext/>
              <w:keepLines/>
              <w:spacing w:before="20" w:after="20" w:line="220" w:lineRule="exact"/>
              <w:ind w:right="-24"/>
              <w:jc w:val="center"/>
              <w:rPr>
                <w:rFonts w:cs="Calibri Light"/>
                <w:sz w:val="18"/>
                <w:szCs w:val="18"/>
              </w:rPr>
            </w:pPr>
            <w:r w:rsidRPr="009E0290">
              <w:rPr>
                <w:rFonts w:cs="Calibri Light"/>
                <w:sz w:val="18"/>
                <w:szCs w:val="18"/>
              </w:rPr>
              <w:t>&gt; 49</w:t>
            </w:r>
          </w:p>
        </w:tc>
      </w:tr>
      <w:tr w:rsidR="009E0290" w:rsidRPr="006B6484" w14:paraId="00454D61" w14:textId="15C69789" w:rsidTr="009E0290">
        <w:trPr>
          <w:cantSplit/>
          <w:trHeight w:val="278"/>
        </w:trPr>
        <w:tc>
          <w:tcPr>
            <w:tcW w:w="2247" w:type="dxa"/>
            <w:vAlign w:val="center"/>
          </w:tcPr>
          <w:p w14:paraId="5FB6446F" w14:textId="7F48BE73" w:rsidR="009E0290" w:rsidRPr="009E0290" w:rsidRDefault="009E0290" w:rsidP="009E0290">
            <w:pPr>
              <w:keepNext/>
              <w:keepLines/>
              <w:spacing w:before="20" w:after="20" w:line="220" w:lineRule="exact"/>
              <w:jc w:val="center"/>
              <w:rPr>
                <w:rFonts w:cs="Calibri Light"/>
                <w:sz w:val="20"/>
                <w:szCs w:val="20"/>
              </w:rPr>
            </w:pPr>
            <w:r w:rsidRPr="009E0290">
              <w:rPr>
                <w:rFonts w:cs="Calibri Light"/>
                <w:sz w:val="20"/>
                <w:szCs w:val="20"/>
              </w:rPr>
              <w:t>Typical Volume (ft</w:t>
            </w:r>
            <w:r w:rsidRPr="009E0290">
              <w:rPr>
                <w:rFonts w:cs="Calibri Light"/>
                <w:sz w:val="20"/>
                <w:szCs w:val="20"/>
                <w:vertAlign w:val="superscript"/>
              </w:rPr>
              <w:t>3</w:t>
            </w:r>
            <w:r w:rsidRPr="009E0290">
              <w:rPr>
                <w:rFonts w:cs="Calibri Light"/>
                <w:sz w:val="20"/>
                <w:szCs w:val="20"/>
              </w:rPr>
              <w:t>)</w:t>
            </w:r>
          </w:p>
        </w:tc>
        <w:tc>
          <w:tcPr>
            <w:tcW w:w="1708" w:type="dxa"/>
            <w:vAlign w:val="center"/>
          </w:tcPr>
          <w:p w14:paraId="6E6C31F6" w14:textId="02E7BA5D" w:rsidR="009E0290" w:rsidRPr="009E0290" w:rsidRDefault="009E0290" w:rsidP="009E0290">
            <w:pPr>
              <w:keepNext/>
              <w:keepLines/>
              <w:spacing w:before="20" w:after="20" w:line="220" w:lineRule="exact"/>
              <w:ind w:right="523"/>
              <w:jc w:val="center"/>
              <w:rPr>
                <w:rFonts w:cs="Calibri Light"/>
                <w:sz w:val="20"/>
                <w:szCs w:val="20"/>
              </w:rPr>
            </w:pPr>
            <w:r w:rsidRPr="009E0290">
              <w:rPr>
                <w:rFonts w:cs="Calibri Light"/>
                <w:sz w:val="20"/>
                <w:szCs w:val="20"/>
              </w:rPr>
              <w:t>10</w:t>
            </w:r>
          </w:p>
        </w:tc>
        <w:tc>
          <w:tcPr>
            <w:tcW w:w="1440" w:type="dxa"/>
            <w:vAlign w:val="center"/>
          </w:tcPr>
          <w:p w14:paraId="47C589D3" w14:textId="0A8F5923" w:rsidR="009E0290" w:rsidRPr="009E0290" w:rsidRDefault="009E0290" w:rsidP="009E0290">
            <w:pPr>
              <w:keepNext/>
              <w:keepLines/>
              <w:spacing w:before="20" w:after="20" w:line="220" w:lineRule="exact"/>
              <w:ind w:right="-24"/>
              <w:jc w:val="center"/>
              <w:rPr>
                <w:rFonts w:cs="Calibri Light"/>
                <w:sz w:val="18"/>
                <w:szCs w:val="18"/>
              </w:rPr>
            </w:pPr>
            <w:r w:rsidRPr="009E0290">
              <w:rPr>
                <w:rFonts w:cs="Calibri Light"/>
                <w:sz w:val="18"/>
                <w:szCs w:val="18"/>
              </w:rPr>
              <w:t>24</w:t>
            </w:r>
          </w:p>
        </w:tc>
        <w:tc>
          <w:tcPr>
            <w:tcW w:w="1800" w:type="dxa"/>
            <w:vAlign w:val="center"/>
          </w:tcPr>
          <w:p w14:paraId="58FF6070" w14:textId="22E07C4A" w:rsidR="009E0290" w:rsidRPr="009E0290" w:rsidRDefault="009E0290" w:rsidP="009E0290">
            <w:pPr>
              <w:keepNext/>
              <w:keepLines/>
              <w:spacing w:before="20" w:after="20" w:line="220" w:lineRule="exact"/>
              <w:ind w:right="-24"/>
              <w:jc w:val="center"/>
              <w:rPr>
                <w:rFonts w:cs="Calibri Light"/>
                <w:sz w:val="18"/>
                <w:szCs w:val="18"/>
              </w:rPr>
            </w:pPr>
            <w:r w:rsidRPr="009E0290">
              <w:rPr>
                <w:rFonts w:cs="Calibri Light"/>
                <w:sz w:val="18"/>
                <w:szCs w:val="18"/>
              </w:rPr>
              <w:t>44</w:t>
            </w:r>
          </w:p>
        </w:tc>
        <w:tc>
          <w:tcPr>
            <w:tcW w:w="1889" w:type="dxa"/>
            <w:vAlign w:val="center"/>
          </w:tcPr>
          <w:p w14:paraId="7EB02B72" w14:textId="21B57D7A" w:rsidR="009E0290" w:rsidRPr="009E0290" w:rsidRDefault="009E0290" w:rsidP="009E0290">
            <w:pPr>
              <w:keepNext/>
              <w:keepLines/>
              <w:spacing w:before="20" w:after="20" w:line="220" w:lineRule="exact"/>
              <w:ind w:right="-24"/>
              <w:jc w:val="center"/>
              <w:rPr>
                <w:rFonts w:cs="Calibri Light"/>
                <w:sz w:val="18"/>
                <w:szCs w:val="18"/>
              </w:rPr>
            </w:pPr>
            <w:r w:rsidRPr="009E0290">
              <w:rPr>
                <w:rFonts w:cs="Calibri Light"/>
                <w:sz w:val="18"/>
                <w:szCs w:val="18"/>
              </w:rPr>
              <w:t>72</w:t>
            </w:r>
          </w:p>
        </w:tc>
      </w:tr>
      <w:bookmarkEnd w:id="40"/>
    </w:tbl>
    <w:p w14:paraId="1B2ACDA5" w14:textId="77777777" w:rsidR="009E0290" w:rsidRDefault="009E0290" w:rsidP="00112334">
      <w:pPr>
        <w:pStyle w:val="eTRMHeading4"/>
      </w:pPr>
    </w:p>
    <w:p w14:paraId="0AA5DFE9" w14:textId="23C6C2C5" w:rsidR="003C205A" w:rsidRPr="003C205A" w:rsidRDefault="003C205A" w:rsidP="00112334">
      <w:pPr>
        <w:pStyle w:val="eTRMHeading4"/>
      </w:pPr>
      <w:r w:rsidRPr="003C205A">
        <w:t>Interactive Effects</w:t>
      </w:r>
    </w:p>
    <w:p w14:paraId="22D8A30D" w14:textId="541FF0C2" w:rsidR="00157985" w:rsidRDefault="003C205A" w:rsidP="003C205A">
      <w:r>
        <w:t xml:space="preserve">Interactive effects </w:t>
      </w:r>
      <w:r w:rsidR="00CF5889">
        <w:t>are not applicable for this measure</w:t>
      </w:r>
      <w:r>
        <w:t xml:space="preserve">. The function of </w:t>
      </w:r>
      <w:r w:rsidR="00CF5889">
        <w:t xml:space="preserve">an </w:t>
      </w:r>
      <w:r w:rsidR="00C14827">
        <w:t>occupancy-based</w:t>
      </w:r>
      <w:r>
        <w:t xml:space="preserve"> control of vending machines and beverage cabinets is to turn the equipment </w:t>
      </w:r>
      <w:r w:rsidR="006B550E">
        <w:t>off</w:t>
      </w:r>
      <w:r>
        <w:t xml:space="preserve"> when the building is not occupied. </w:t>
      </w:r>
      <w:r w:rsidR="00CF5889">
        <w:t xml:space="preserve">The applicability of </w:t>
      </w:r>
      <w:r>
        <w:t>interactive effect</w:t>
      </w:r>
      <w:r w:rsidR="00CF5889">
        <w:t>s</w:t>
      </w:r>
      <w:r>
        <w:t xml:space="preserve"> savings</w:t>
      </w:r>
      <w:r w:rsidR="00CF5889">
        <w:t xml:space="preserve"> would imply that </w:t>
      </w:r>
      <w:r w:rsidRPr="00C14827">
        <w:t xml:space="preserve">the HVAC equipment is </w:t>
      </w:r>
      <w:r w:rsidR="00CF5889">
        <w:t>operating</w:t>
      </w:r>
      <w:r w:rsidRPr="00C14827">
        <w:t xml:space="preserve"> </w:t>
      </w:r>
      <w:r w:rsidR="00CF5889">
        <w:t xml:space="preserve">the same </w:t>
      </w:r>
      <w:r w:rsidRPr="00C14827">
        <w:t>when facility is closed as it is when it is open.</w:t>
      </w:r>
    </w:p>
    <w:p w14:paraId="686416B2" w14:textId="77777777" w:rsidR="009E0290" w:rsidRDefault="009E0290" w:rsidP="003C205A"/>
    <w:p w14:paraId="6CE53CCD" w14:textId="77777777" w:rsidR="00D14F25" w:rsidRPr="004B06E3" w:rsidRDefault="00D14F25" w:rsidP="00D14F25">
      <w:pPr>
        <w:pStyle w:val="eTRMHeading3"/>
      </w:pPr>
      <w:bookmarkStart w:id="41" w:name="_Toc486490856"/>
      <w:bookmarkStart w:id="42" w:name="_Toc486580927"/>
      <w:bookmarkStart w:id="43" w:name="_Toc529355975"/>
      <w:r w:rsidRPr="004B06E3">
        <w:lastRenderedPageBreak/>
        <w:t>Peak Electric Demand Reduction (kW)</w:t>
      </w:r>
      <w:bookmarkEnd w:id="41"/>
      <w:bookmarkEnd w:id="42"/>
      <w:bookmarkEnd w:id="43"/>
    </w:p>
    <w:p w14:paraId="315A7FBB" w14:textId="77777777" w:rsidR="00D14F25" w:rsidRDefault="00D14F25" w:rsidP="00D14F25">
      <w:r>
        <w:t>As presented in the Itron 2004-2005 DEER Update Study Final Report,</w:t>
      </w:r>
      <w:r>
        <w:rPr>
          <w:rStyle w:val="FootnoteReference"/>
        </w:rPr>
        <w:footnoteReference w:id="10"/>
      </w:r>
      <w:r>
        <w:t xml:space="preserve"> the vending machine controller (VMC) is expected to operate primarily during off-peak hours; therefore, no demand reduction will occur during the peak period. This assumption is also applied to the beverage machine controller (BMC) due to its similar operation and application. While there will be some demand reduction due to occupancy during the defined peak hours, there is no substantial evidence available to apply a lighting coincident demand factor to vending and beverage cabinet control. As such, the demand reduction by the vending and beverage machine control measure is assumed to be zero. </w:t>
      </w:r>
    </w:p>
    <w:p w14:paraId="4273CFCC" w14:textId="77777777" w:rsidR="00A66484" w:rsidRDefault="00A66484" w:rsidP="003C205A"/>
    <w:p w14:paraId="0E9D248B" w14:textId="77777777" w:rsidR="007D230B" w:rsidRPr="004B06E3" w:rsidRDefault="007D230B" w:rsidP="004D29B2">
      <w:pPr>
        <w:pStyle w:val="eTRMHeading3"/>
      </w:pPr>
      <w:bookmarkStart w:id="44" w:name="_Toc486490858"/>
      <w:bookmarkStart w:id="45" w:name="_Toc486580929"/>
      <w:bookmarkStart w:id="46" w:name="_Toc529355976"/>
      <w:r w:rsidRPr="004B06E3">
        <w:t>Gas Savings</w:t>
      </w:r>
      <w:r w:rsidR="00245AFF" w:rsidRPr="004B06E3">
        <w:t xml:space="preserve"> (Therms)</w:t>
      </w:r>
      <w:bookmarkEnd w:id="44"/>
      <w:bookmarkEnd w:id="45"/>
      <w:bookmarkEnd w:id="46"/>
    </w:p>
    <w:p w14:paraId="757CBFF3" w14:textId="6944A985" w:rsidR="007D230B" w:rsidRDefault="00E937B4" w:rsidP="004B06E3">
      <w:r>
        <w:t xml:space="preserve">Not applicable. </w:t>
      </w:r>
    </w:p>
    <w:p w14:paraId="1AB08F67" w14:textId="77777777" w:rsidR="00157985" w:rsidRDefault="00157985" w:rsidP="00BB4F22"/>
    <w:p w14:paraId="4DDCD51F" w14:textId="069341A5" w:rsidR="007D230B" w:rsidRPr="004B06E3" w:rsidRDefault="00245AFF" w:rsidP="004D29B2">
      <w:pPr>
        <w:pStyle w:val="eTRMHeading3"/>
      </w:pPr>
      <w:bookmarkStart w:id="47" w:name="_Toc486490859"/>
      <w:bookmarkStart w:id="48" w:name="_Toc486580930"/>
      <w:bookmarkStart w:id="49" w:name="_Toc529355977"/>
      <w:r w:rsidRPr="004B06E3">
        <w:t>Life Cycle</w:t>
      </w:r>
      <w:bookmarkEnd w:id="47"/>
      <w:bookmarkEnd w:id="48"/>
      <w:bookmarkEnd w:id="49"/>
    </w:p>
    <w:p w14:paraId="5550EBE4" w14:textId="7E2323C0" w:rsidR="00204E38" w:rsidRDefault="006852AE" w:rsidP="006852AE">
      <w:pPr>
        <w:rPr>
          <w:rFonts w:eastAsia="MS PMincho" w:cs="Times New Roman"/>
        </w:rPr>
      </w:pPr>
      <w:r w:rsidRPr="005F568E">
        <w:rPr>
          <w:rFonts w:eastAsia="MS PMincho" w:cs="Times New Roman"/>
        </w:rPr>
        <w:t xml:space="preserve">Effective useful life (EUL) is an estimate of the median number of years that a measure installed through a program is still in place and operable. Remaining useful </w:t>
      </w:r>
      <w:r w:rsidR="00B537BB">
        <w:rPr>
          <w:rFonts w:eastAsia="MS PMincho" w:cs="Times New Roman"/>
        </w:rPr>
        <w:t xml:space="preserve">life </w:t>
      </w:r>
      <w:r w:rsidRPr="005F568E">
        <w:rPr>
          <w:rFonts w:eastAsia="MS PMincho" w:cs="Times New Roman"/>
        </w:rPr>
        <w:t xml:space="preserve">(RUL) is an estimate of the median number of years that a technology or piece of equipment replaced or altered by an energy efficiency program would have remained in service and operational had the program intervention not caused the replacement or alteration. </w:t>
      </w:r>
    </w:p>
    <w:p w14:paraId="2CA0ED7A" w14:textId="16E9D2CB" w:rsidR="006852AE" w:rsidRPr="005F568E" w:rsidRDefault="006852AE" w:rsidP="006852AE">
      <w:pPr>
        <w:rPr>
          <w:rFonts w:eastAsia="MS PMincho" w:cs="Times New Roman"/>
        </w:rPr>
      </w:pPr>
      <w:r w:rsidRPr="005F568E">
        <w:rPr>
          <w:rFonts w:eastAsia="MS PMincho" w:cs="Times New Roman"/>
        </w:rPr>
        <w:t xml:space="preserve">The RUL is only applicable to the first baseline period for a retrofit </w:t>
      </w:r>
      <w:r w:rsidR="00B9630B">
        <w:rPr>
          <w:rFonts w:eastAsia="MS PMincho" w:cs="Times New Roman"/>
        </w:rPr>
        <w:t xml:space="preserve">or early retirement </w:t>
      </w:r>
      <w:r w:rsidRPr="005F568E">
        <w:rPr>
          <w:rFonts w:eastAsia="MS PMincho" w:cs="Times New Roman"/>
        </w:rPr>
        <w:t>measure. T</w:t>
      </w:r>
      <w:r w:rsidRPr="005F568E">
        <w:rPr>
          <w:rFonts w:eastAsia="MS PMincho" w:cs="Arial"/>
        </w:rPr>
        <w:t>he methodology to calculate the RUL conforms with Version 5 of the Energy Efficiency Policy Manual, which recommends “o</w:t>
      </w:r>
      <w:r w:rsidRPr="005F568E">
        <w:rPr>
          <w:rFonts w:eastAsia="MS PMincho" w:cs="Times New Roman"/>
        </w:rPr>
        <w:t>ne-third of the effective useful life in DEER as the remaining useful life until further study results are available to establish more accurate values.”</w:t>
      </w:r>
      <w:r w:rsidRPr="005F568E">
        <w:rPr>
          <w:rFonts w:eastAsia="MS PMincho" w:cs="Times New Roman"/>
          <w:vertAlign w:val="superscript"/>
        </w:rPr>
        <w:footnoteReference w:id="11"/>
      </w:r>
      <w:r w:rsidRPr="005F568E">
        <w:rPr>
          <w:rFonts w:eastAsia="MS PMincho" w:cs="Times New Roman"/>
        </w:rPr>
        <w:t xml:space="preserve"> </w:t>
      </w:r>
      <w:r w:rsidRPr="005F568E">
        <w:rPr>
          <w:rFonts w:eastAsia="Times New Roman" w:cs="Times New Roman"/>
        </w:rPr>
        <w:t>This approach provides a reasonable RUL estimate without requiring any a priori knowledge about the age of the equipment being replaced.</w:t>
      </w:r>
      <w:r w:rsidRPr="005F568E">
        <w:rPr>
          <w:rFonts w:eastAsia="Times New Roman" w:cs="Times New Roman"/>
          <w:vertAlign w:val="superscript"/>
        </w:rPr>
        <w:footnoteReference w:id="12"/>
      </w:r>
      <w:r w:rsidRPr="005F568E">
        <w:rPr>
          <w:rFonts w:eastAsia="Times New Roman" w:cs="Times New Roman"/>
        </w:rPr>
        <w:t> </w:t>
      </w:r>
      <w:r w:rsidR="00D16CB6">
        <w:t>T</w:t>
      </w:r>
      <w:r w:rsidR="00D16CB6" w:rsidRPr="005F568E">
        <w:rPr>
          <w:rFonts w:eastAsia="MS PMincho" w:cs="Proxima Nova Regular"/>
        </w:rPr>
        <w:t>he EUL for the REA measure cannot exceed the RUL of the pre-existing (“host”) equipment</w:t>
      </w:r>
      <w:r w:rsidR="00D16CB6">
        <w:rPr>
          <w:rFonts w:eastAsia="MS PMincho" w:cs="Proxima Nova Regular"/>
        </w:rPr>
        <w:t>.</w:t>
      </w:r>
      <w:r w:rsidR="00D16CB6" w:rsidRPr="005F568E" w:rsidDel="00D16CB6">
        <w:rPr>
          <w:rFonts w:eastAsia="Times New Roman" w:cs="Times New Roman"/>
        </w:rPr>
        <w:t xml:space="preserve"> </w:t>
      </w:r>
    </w:p>
    <w:p w14:paraId="34C32A87" w14:textId="395E4670" w:rsidR="006852AE" w:rsidRPr="005F568E" w:rsidRDefault="006852AE" w:rsidP="006852AE">
      <w:pPr>
        <w:rPr>
          <w:rFonts w:eastAsia="MS PMincho" w:cs="Times New Roman"/>
        </w:rPr>
      </w:pPr>
      <w:r w:rsidRPr="005F568E">
        <w:rPr>
          <w:rFonts w:eastAsia="MS PMincho" w:cs="Times New Roman"/>
        </w:rPr>
        <w:t xml:space="preserve">The EUL and RUL established for a </w:t>
      </w:r>
      <w:r w:rsidR="00193CA7">
        <w:t xml:space="preserve">beverage merchandise controller (BMC) </w:t>
      </w:r>
      <w:r w:rsidR="00D30253">
        <w:rPr>
          <w:rFonts w:eastAsia="MS PMincho" w:cs="Times New Roman"/>
        </w:rPr>
        <w:t xml:space="preserve">and </w:t>
      </w:r>
      <w:r w:rsidR="00193CA7">
        <w:t xml:space="preserve">vending machine controllers (VMC) </w:t>
      </w:r>
      <w:r w:rsidRPr="005F568E">
        <w:rPr>
          <w:rFonts w:eastAsia="MS PMincho" w:cs="Times New Roman"/>
        </w:rPr>
        <w:t xml:space="preserve">are specified </w:t>
      </w:r>
      <w:r w:rsidR="00112334">
        <w:rPr>
          <w:rFonts w:eastAsia="MS PMincho" w:cs="Times New Roman"/>
        </w:rPr>
        <w:t>below</w:t>
      </w:r>
      <w:r w:rsidRPr="005F568E">
        <w:rPr>
          <w:rFonts w:eastAsia="MS PMincho" w:cs="Times New Roman"/>
        </w:rPr>
        <w:t xml:space="preserve">. </w:t>
      </w:r>
      <w:r w:rsidR="00E27DCF">
        <w:t>Additional studies that examined the EUL of vending machines and occupancy controllers are</w:t>
      </w:r>
      <w:r w:rsidR="00E27DCF" w:rsidRPr="00E27DCF">
        <w:rPr>
          <w:rStyle w:val="eTRMFootnoteTextChar"/>
        </w:rPr>
        <w:t xml:space="preserve"> </w:t>
      </w:r>
      <w:r w:rsidR="00E27DCF" w:rsidRPr="00E27DCF">
        <w:rPr>
          <w:rStyle w:val="eTRMFootnoteTextChar"/>
          <w:sz w:val="22"/>
        </w:rPr>
        <w:t>Foster-Miller, Inc. (2000)</w:t>
      </w:r>
      <w:r w:rsidR="00E27DCF" w:rsidRPr="00E27DCF">
        <w:rPr>
          <w:rStyle w:val="FootnoteReference"/>
          <w:rFonts w:eastAsia="MS PMincho" w:cs="Times New Roman"/>
          <w:sz w:val="28"/>
        </w:rPr>
        <w:t xml:space="preserve"> </w:t>
      </w:r>
      <w:r w:rsidR="00E27DCF">
        <w:rPr>
          <w:rStyle w:val="FootnoteReference"/>
          <w:rFonts w:eastAsia="MS PMincho" w:cs="Times New Roman"/>
        </w:rPr>
        <w:footnoteReference w:id="13"/>
      </w:r>
      <w:r w:rsidR="00E27DCF">
        <w:rPr>
          <w:rStyle w:val="eTRMFootnoteTextChar"/>
        </w:rPr>
        <w:t xml:space="preserve"> </w:t>
      </w:r>
      <w:r w:rsidR="00E27DCF" w:rsidRPr="00E27DCF">
        <w:rPr>
          <w:rStyle w:val="eTRMFootnoteTextChar"/>
          <w:sz w:val="22"/>
          <w:szCs w:val="22"/>
        </w:rPr>
        <w:t xml:space="preserve">which estimated a lifetime of 13 years, and </w:t>
      </w:r>
      <w:r w:rsidR="00E27DCF" w:rsidRPr="00E27DCF">
        <w:rPr>
          <w:szCs w:val="22"/>
        </w:rPr>
        <w:t>Robe</w:t>
      </w:r>
      <w:r w:rsidR="00E27DCF" w:rsidRPr="00B46795">
        <w:t xml:space="preserve">rt </w:t>
      </w:r>
      <w:proofErr w:type="spellStart"/>
      <w:r w:rsidR="00E27DCF" w:rsidRPr="00B46795">
        <w:t>Mowris</w:t>
      </w:r>
      <w:proofErr w:type="spellEnd"/>
      <w:r w:rsidR="00E27DCF" w:rsidRPr="00B46795">
        <w:t xml:space="preserve"> &amp; Associates</w:t>
      </w:r>
      <w:r w:rsidR="00E27DCF">
        <w:t xml:space="preserve"> (</w:t>
      </w:r>
      <w:r w:rsidR="00E27DCF" w:rsidRPr="00B46795">
        <w:t>2007</w:t>
      </w:r>
      <w:r w:rsidR="00E27DCF">
        <w:t>) estimated a lifetime of three years</w:t>
      </w:r>
      <w:r w:rsidR="00E27DCF" w:rsidRPr="00B46795">
        <w:t>.</w:t>
      </w:r>
      <w:r w:rsidR="00E27DCF" w:rsidRPr="00E27DCF">
        <w:rPr>
          <w:rStyle w:val="FootnoteReference"/>
          <w:rFonts w:eastAsia="MS PMincho" w:cs="Times New Roman"/>
        </w:rPr>
        <w:t xml:space="preserve"> </w:t>
      </w:r>
      <w:r w:rsidR="00E27DCF">
        <w:rPr>
          <w:rStyle w:val="FootnoteReference"/>
          <w:rFonts w:eastAsia="MS PMincho" w:cs="Times New Roman"/>
        </w:rPr>
        <w:footnoteReference w:id="14"/>
      </w:r>
    </w:p>
    <w:p w14:paraId="7D542FEF" w14:textId="06457DE1" w:rsidR="00FD2C54" w:rsidRPr="00920905" w:rsidRDefault="00FD2C54" w:rsidP="006B6484">
      <w:pPr>
        <w:pStyle w:val="Caption"/>
      </w:pPr>
      <w:r>
        <w:lastRenderedPageBreak/>
        <w:t>Effective Useful Life</w:t>
      </w:r>
      <w:r w:rsidR="00BB4F22">
        <w:t xml:space="preserve"> and Remaining Useful Life</w:t>
      </w:r>
    </w:p>
    <w:tbl>
      <w:tblPr>
        <w:tblW w:w="9720" w:type="dxa"/>
        <w:tblInd w:w="-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115" w:type="dxa"/>
          <w:right w:w="115" w:type="dxa"/>
        </w:tblCellMar>
        <w:tblLook w:val="00A0" w:firstRow="1" w:lastRow="0" w:firstColumn="1" w:lastColumn="0" w:noHBand="0" w:noVBand="0"/>
      </w:tblPr>
      <w:tblGrid>
        <w:gridCol w:w="2970"/>
        <w:gridCol w:w="990"/>
        <w:gridCol w:w="5760"/>
      </w:tblGrid>
      <w:tr w:rsidR="006852AE" w:rsidRPr="006852AE" w14:paraId="1D31A515" w14:textId="77777777" w:rsidTr="00C50011">
        <w:tc>
          <w:tcPr>
            <w:tcW w:w="2970" w:type="dxa"/>
            <w:shd w:val="clear" w:color="auto" w:fill="F2F2F2"/>
            <w:vAlign w:val="bottom"/>
          </w:tcPr>
          <w:p w14:paraId="0E495A73" w14:textId="77777777" w:rsidR="006852AE" w:rsidRPr="006852AE" w:rsidRDefault="006852AE" w:rsidP="006852AE">
            <w:pPr>
              <w:keepNext/>
              <w:keepLines/>
              <w:spacing w:before="0" w:after="0" w:line="200" w:lineRule="atLeast"/>
              <w:jc w:val="center"/>
              <w:rPr>
                <w:rFonts w:eastAsia="Calibri" w:cs="Calibri Light"/>
                <w:b/>
                <w:sz w:val="20"/>
                <w:szCs w:val="22"/>
              </w:rPr>
            </w:pPr>
            <w:bookmarkStart w:id="50" w:name="_Hlk504723428"/>
            <w:r w:rsidRPr="006852AE">
              <w:rPr>
                <w:rFonts w:eastAsia="Calibri" w:cs="Calibri Light"/>
                <w:b/>
                <w:sz w:val="20"/>
                <w:szCs w:val="22"/>
              </w:rPr>
              <w:t>Parameter</w:t>
            </w:r>
          </w:p>
        </w:tc>
        <w:tc>
          <w:tcPr>
            <w:tcW w:w="990" w:type="dxa"/>
            <w:shd w:val="clear" w:color="auto" w:fill="F2F2F2"/>
            <w:vAlign w:val="bottom"/>
          </w:tcPr>
          <w:p w14:paraId="2F1F9F75" w14:textId="1C42160B" w:rsidR="006852AE" w:rsidRPr="006852AE" w:rsidRDefault="00112334" w:rsidP="00B0084D">
            <w:pPr>
              <w:keepNext/>
              <w:keepLines/>
              <w:spacing w:before="0" w:after="0" w:line="200" w:lineRule="atLeast"/>
              <w:jc w:val="center"/>
              <w:rPr>
                <w:rFonts w:eastAsia="Calibri" w:cs="Calibri Light"/>
                <w:b/>
                <w:sz w:val="20"/>
                <w:szCs w:val="22"/>
              </w:rPr>
            </w:pPr>
            <w:r>
              <w:rPr>
                <w:b/>
                <w:sz w:val="20"/>
                <w:szCs w:val="20"/>
              </w:rPr>
              <w:t>Value</w:t>
            </w:r>
          </w:p>
        </w:tc>
        <w:tc>
          <w:tcPr>
            <w:tcW w:w="5760" w:type="dxa"/>
            <w:shd w:val="clear" w:color="auto" w:fill="F2F2F2"/>
            <w:vAlign w:val="bottom"/>
          </w:tcPr>
          <w:p w14:paraId="6D9C3888" w14:textId="77777777" w:rsidR="006852AE" w:rsidRPr="006852AE" w:rsidRDefault="006852AE" w:rsidP="006852AE">
            <w:pPr>
              <w:keepNext/>
              <w:keepLines/>
              <w:spacing w:before="0" w:after="0" w:line="200" w:lineRule="atLeast"/>
              <w:jc w:val="center"/>
              <w:rPr>
                <w:rFonts w:eastAsia="Calibri" w:cs="Calibri Light"/>
                <w:b/>
                <w:sz w:val="20"/>
                <w:szCs w:val="22"/>
              </w:rPr>
            </w:pPr>
            <w:r w:rsidRPr="006852AE">
              <w:rPr>
                <w:rFonts w:eastAsia="Calibri" w:cs="Calibri Light"/>
                <w:b/>
                <w:sz w:val="20"/>
                <w:szCs w:val="22"/>
              </w:rPr>
              <w:t>Source</w:t>
            </w:r>
          </w:p>
        </w:tc>
      </w:tr>
      <w:tr w:rsidR="0013493F" w:rsidRPr="006852AE" w14:paraId="6C989D01" w14:textId="77777777" w:rsidTr="00C50011">
        <w:trPr>
          <w:trHeight w:val="260"/>
        </w:trPr>
        <w:tc>
          <w:tcPr>
            <w:tcW w:w="2970" w:type="dxa"/>
            <w:vAlign w:val="center"/>
          </w:tcPr>
          <w:p w14:paraId="06CAB735" w14:textId="1F3E18DD" w:rsidR="0013493F" w:rsidRPr="006852AE" w:rsidRDefault="0013493F" w:rsidP="006852AE">
            <w:pPr>
              <w:keepNext/>
              <w:keepLines/>
              <w:spacing w:before="0" w:after="0" w:line="200" w:lineRule="atLeast"/>
              <w:rPr>
                <w:rFonts w:eastAsia="Calibri" w:cs="Calibri Light"/>
                <w:sz w:val="20"/>
                <w:szCs w:val="22"/>
              </w:rPr>
            </w:pPr>
            <w:r>
              <w:rPr>
                <w:rFonts w:eastAsia="Calibri" w:cs="Calibri Light"/>
                <w:sz w:val="20"/>
                <w:szCs w:val="22"/>
              </w:rPr>
              <w:t xml:space="preserve">EUL </w:t>
            </w:r>
            <w:r w:rsidR="00430B07">
              <w:rPr>
                <w:rFonts w:eastAsia="Calibri" w:cs="Calibri Light"/>
                <w:sz w:val="20"/>
                <w:szCs w:val="22"/>
              </w:rPr>
              <w:t>(</w:t>
            </w:r>
            <w:proofErr w:type="spellStart"/>
            <w:r w:rsidR="00430B07">
              <w:rPr>
                <w:rFonts w:eastAsia="Calibri" w:cs="Calibri Light"/>
                <w:sz w:val="20"/>
                <w:szCs w:val="22"/>
              </w:rPr>
              <w:t>yrs</w:t>
            </w:r>
            <w:proofErr w:type="spellEnd"/>
            <w:r w:rsidR="00430B07">
              <w:rPr>
                <w:rFonts w:eastAsia="Calibri" w:cs="Calibri Light"/>
                <w:sz w:val="20"/>
                <w:szCs w:val="22"/>
              </w:rPr>
              <w:t xml:space="preserve">) </w:t>
            </w:r>
            <w:r>
              <w:rPr>
                <w:rFonts w:eastAsia="Calibri" w:cs="Calibri Light"/>
                <w:sz w:val="20"/>
                <w:szCs w:val="22"/>
              </w:rPr>
              <w:t>– host vending machine</w:t>
            </w:r>
          </w:p>
        </w:tc>
        <w:tc>
          <w:tcPr>
            <w:tcW w:w="990" w:type="dxa"/>
            <w:shd w:val="clear" w:color="auto" w:fill="auto"/>
            <w:vAlign w:val="center"/>
          </w:tcPr>
          <w:p w14:paraId="29E3153E" w14:textId="676184CC" w:rsidR="0013493F" w:rsidRPr="00112334" w:rsidRDefault="0013493F" w:rsidP="007469D6">
            <w:pPr>
              <w:keepNext/>
              <w:keepLines/>
              <w:spacing w:before="0" w:after="0" w:line="200" w:lineRule="atLeast"/>
              <w:jc w:val="right"/>
              <w:rPr>
                <w:sz w:val="20"/>
                <w:szCs w:val="20"/>
              </w:rPr>
            </w:pPr>
            <w:r w:rsidRPr="00112334">
              <w:rPr>
                <w:sz w:val="20"/>
                <w:szCs w:val="20"/>
              </w:rPr>
              <w:t>20.00</w:t>
            </w:r>
          </w:p>
        </w:tc>
        <w:tc>
          <w:tcPr>
            <w:tcW w:w="5760" w:type="dxa"/>
            <w:vAlign w:val="center"/>
          </w:tcPr>
          <w:p w14:paraId="07B2ACB7" w14:textId="5F7FD848" w:rsidR="0013493F" w:rsidRPr="00D16CB6" w:rsidRDefault="00D16CB6" w:rsidP="006852AE">
            <w:pPr>
              <w:keepNext/>
              <w:keepLines/>
              <w:spacing w:before="0" w:after="0" w:line="240" w:lineRule="auto"/>
              <w:rPr>
                <w:sz w:val="18"/>
                <w:szCs w:val="18"/>
              </w:rPr>
            </w:pPr>
            <w:r w:rsidRPr="00D16CB6">
              <w:rPr>
                <w:sz w:val="18"/>
              </w:rPr>
              <w:t>Not available. Based upon professional judgement, host equipment has an extended life that would exceed the max value. Set equal to max value.</w:t>
            </w:r>
          </w:p>
        </w:tc>
      </w:tr>
      <w:tr w:rsidR="0013493F" w:rsidRPr="006852AE" w14:paraId="62744B45" w14:textId="77777777" w:rsidTr="00C50011">
        <w:trPr>
          <w:trHeight w:val="260"/>
        </w:trPr>
        <w:tc>
          <w:tcPr>
            <w:tcW w:w="2970" w:type="dxa"/>
            <w:vAlign w:val="center"/>
          </w:tcPr>
          <w:p w14:paraId="154E9C1B" w14:textId="38D257AB" w:rsidR="0013493F" w:rsidRDefault="0013493F" w:rsidP="006852AE">
            <w:pPr>
              <w:keepNext/>
              <w:keepLines/>
              <w:spacing w:before="0" w:after="0" w:line="200" w:lineRule="atLeast"/>
              <w:rPr>
                <w:rFonts w:eastAsia="Calibri" w:cs="Calibri Light"/>
                <w:sz w:val="20"/>
                <w:szCs w:val="22"/>
              </w:rPr>
            </w:pPr>
            <w:r>
              <w:rPr>
                <w:rFonts w:eastAsia="Calibri" w:cs="Calibri Light"/>
                <w:sz w:val="20"/>
                <w:szCs w:val="22"/>
              </w:rPr>
              <w:t xml:space="preserve">RUL </w:t>
            </w:r>
            <w:r w:rsidR="00430B07">
              <w:rPr>
                <w:rFonts w:eastAsia="Calibri" w:cs="Calibri Light"/>
                <w:sz w:val="20"/>
                <w:szCs w:val="22"/>
              </w:rPr>
              <w:t>(</w:t>
            </w:r>
            <w:proofErr w:type="spellStart"/>
            <w:r w:rsidR="00430B07">
              <w:rPr>
                <w:rFonts w:eastAsia="Calibri" w:cs="Calibri Light"/>
                <w:sz w:val="20"/>
                <w:szCs w:val="22"/>
              </w:rPr>
              <w:t>yrs</w:t>
            </w:r>
            <w:proofErr w:type="spellEnd"/>
            <w:r w:rsidR="00430B07">
              <w:rPr>
                <w:rFonts w:eastAsia="Calibri" w:cs="Calibri Light"/>
                <w:sz w:val="20"/>
                <w:szCs w:val="22"/>
              </w:rPr>
              <w:t xml:space="preserve">) </w:t>
            </w:r>
            <w:r>
              <w:rPr>
                <w:rFonts w:eastAsia="Calibri" w:cs="Calibri Light"/>
                <w:sz w:val="20"/>
                <w:szCs w:val="22"/>
              </w:rPr>
              <w:t>– host vending machine</w:t>
            </w:r>
          </w:p>
        </w:tc>
        <w:tc>
          <w:tcPr>
            <w:tcW w:w="990" w:type="dxa"/>
            <w:shd w:val="clear" w:color="auto" w:fill="auto"/>
            <w:vAlign w:val="center"/>
          </w:tcPr>
          <w:p w14:paraId="03C76EA9" w14:textId="58E18773" w:rsidR="0013493F" w:rsidRPr="00112334" w:rsidRDefault="0013493F" w:rsidP="007469D6">
            <w:pPr>
              <w:keepNext/>
              <w:keepLines/>
              <w:spacing w:before="0" w:after="0" w:line="200" w:lineRule="atLeast"/>
              <w:jc w:val="right"/>
              <w:rPr>
                <w:sz w:val="20"/>
                <w:szCs w:val="20"/>
              </w:rPr>
            </w:pPr>
            <w:r w:rsidRPr="00112334">
              <w:rPr>
                <w:sz w:val="20"/>
                <w:szCs w:val="20"/>
              </w:rPr>
              <w:t>6.67</w:t>
            </w:r>
          </w:p>
        </w:tc>
        <w:tc>
          <w:tcPr>
            <w:tcW w:w="5760" w:type="dxa"/>
            <w:vAlign w:val="center"/>
          </w:tcPr>
          <w:p w14:paraId="14ECFB60" w14:textId="2D6BBFF1" w:rsidR="00D16CB6" w:rsidRPr="00D16CB6" w:rsidRDefault="00D16CB6" w:rsidP="006852AE">
            <w:pPr>
              <w:keepNext/>
              <w:keepLines/>
              <w:spacing w:before="0" w:after="0" w:line="240" w:lineRule="auto"/>
              <w:rPr>
                <w:sz w:val="18"/>
                <w:szCs w:val="18"/>
              </w:rPr>
            </w:pPr>
            <w:r w:rsidRPr="00D16CB6">
              <w:rPr>
                <w:sz w:val="18"/>
                <w:szCs w:val="18"/>
              </w:rPr>
              <w:t xml:space="preserve">California Public Utilities Commission (CPUC), Energy Division. 2013. </w:t>
            </w:r>
            <w:r w:rsidRPr="00D16CB6">
              <w:rPr>
                <w:i/>
                <w:sz w:val="18"/>
                <w:szCs w:val="18"/>
              </w:rPr>
              <w:t>Energy Efficiency Policy Manual Version 5</w:t>
            </w:r>
            <w:r w:rsidRPr="00D16CB6">
              <w:rPr>
                <w:sz w:val="18"/>
                <w:szCs w:val="18"/>
              </w:rPr>
              <w:t>. Page 32.</w:t>
            </w:r>
          </w:p>
        </w:tc>
      </w:tr>
      <w:tr w:rsidR="006852AE" w:rsidRPr="006852AE" w14:paraId="35EB7561" w14:textId="77777777" w:rsidTr="00C50011">
        <w:trPr>
          <w:trHeight w:val="260"/>
        </w:trPr>
        <w:tc>
          <w:tcPr>
            <w:tcW w:w="2970" w:type="dxa"/>
            <w:vAlign w:val="center"/>
          </w:tcPr>
          <w:p w14:paraId="1496CADB" w14:textId="69FF67FE" w:rsidR="006852AE" w:rsidRPr="006852AE" w:rsidRDefault="006852AE" w:rsidP="006852AE">
            <w:pPr>
              <w:keepNext/>
              <w:keepLines/>
              <w:spacing w:before="0" w:after="0" w:line="200" w:lineRule="atLeast"/>
              <w:rPr>
                <w:rFonts w:eastAsia="Calibri" w:cs="Calibri Light"/>
                <w:sz w:val="20"/>
                <w:szCs w:val="22"/>
              </w:rPr>
            </w:pPr>
            <w:r w:rsidRPr="006852AE">
              <w:rPr>
                <w:rFonts w:eastAsia="Calibri" w:cs="Calibri Light"/>
                <w:sz w:val="20"/>
                <w:szCs w:val="22"/>
              </w:rPr>
              <w:t>EUL (</w:t>
            </w:r>
            <w:proofErr w:type="spellStart"/>
            <w:r w:rsidRPr="006852AE">
              <w:rPr>
                <w:rFonts w:eastAsia="Calibri" w:cs="Calibri Light"/>
                <w:sz w:val="20"/>
                <w:szCs w:val="22"/>
              </w:rPr>
              <w:t>yrs</w:t>
            </w:r>
            <w:proofErr w:type="spellEnd"/>
            <w:r w:rsidRPr="006852AE">
              <w:rPr>
                <w:rFonts w:eastAsia="Calibri" w:cs="Calibri Light"/>
                <w:sz w:val="20"/>
                <w:szCs w:val="22"/>
              </w:rPr>
              <w:t>)</w:t>
            </w:r>
            <w:r w:rsidR="0013493F">
              <w:rPr>
                <w:rFonts w:eastAsia="Calibri" w:cs="Calibri Light"/>
                <w:sz w:val="20"/>
                <w:szCs w:val="22"/>
              </w:rPr>
              <w:t xml:space="preserve"> – </w:t>
            </w:r>
            <w:r w:rsidR="00112334">
              <w:rPr>
                <w:rFonts w:eastAsia="Calibri" w:cs="Calibri Light"/>
                <w:sz w:val="20"/>
                <w:szCs w:val="22"/>
              </w:rPr>
              <w:t>measure</w:t>
            </w:r>
            <w:r w:rsidR="005576EA">
              <w:rPr>
                <w:rFonts w:eastAsia="Calibri" w:cs="Calibri Light"/>
                <w:sz w:val="20"/>
                <w:szCs w:val="22"/>
              </w:rPr>
              <w:t xml:space="preserve"> </w:t>
            </w:r>
            <w:r w:rsidR="0013493F">
              <w:rPr>
                <w:rFonts w:eastAsia="Calibri" w:cs="Calibri Light"/>
                <w:sz w:val="20"/>
                <w:szCs w:val="22"/>
              </w:rPr>
              <w:t>BMC/VMC</w:t>
            </w:r>
            <w:r w:rsidR="005576EA">
              <w:rPr>
                <w:rFonts w:eastAsia="Calibri" w:cs="Calibri Light"/>
                <w:sz w:val="20"/>
                <w:szCs w:val="22"/>
              </w:rPr>
              <w:t xml:space="preserve"> </w:t>
            </w:r>
          </w:p>
        </w:tc>
        <w:tc>
          <w:tcPr>
            <w:tcW w:w="990" w:type="dxa"/>
            <w:shd w:val="clear" w:color="auto" w:fill="auto"/>
            <w:vAlign w:val="center"/>
          </w:tcPr>
          <w:p w14:paraId="77F0FE2F" w14:textId="484A34F5" w:rsidR="006852AE" w:rsidRPr="00112334" w:rsidRDefault="006852AE" w:rsidP="007469D6">
            <w:pPr>
              <w:keepNext/>
              <w:keepLines/>
              <w:spacing w:before="0" w:after="0" w:line="200" w:lineRule="atLeast"/>
              <w:jc w:val="right"/>
              <w:rPr>
                <w:rFonts w:eastAsia="Calibri" w:cs="Calibri Light"/>
                <w:sz w:val="20"/>
                <w:szCs w:val="22"/>
              </w:rPr>
            </w:pPr>
            <w:r w:rsidRPr="00112334">
              <w:rPr>
                <w:sz w:val="20"/>
                <w:szCs w:val="20"/>
              </w:rPr>
              <w:t>5.0</w:t>
            </w:r>
            <w:r w:rsidR="0013493F" w:rsidRPr="00112334">
              <w:rPr>
                <w:sz w:val="20"/>
                <w:szCs w:val="20"/>
              </w:rPr>
              <w:t>0</w:t>
            </w:r>
          </w:p>
        </w:tc>
        <w:tc>
          <w:tcPr>
            <w:tcW w:w="5760" w:type="dxa"/>
            <w:vAlign w:val="center"/>
          </w:tcPr>
          <w:p w14:paraId="6E32E34D" w14:textId="77777777" w:rsidR="006852AE" w:rsidRPr="00204E38" w:rsidRDefault="00FA3283" w:rsidP="006852AE">
            <w:pPr>
              <w:keepNext/>
              <w:keepLines/>
              <w:spacing w:before="0" w:after="0" w:line="240" w:lineRule="auto"/>
              <w:rPr>
                <w:sz w:val="18"/>
                <w:szCs w:val="18"/>
              </w:rPr>
            </w:pPr>
            <w:r w:rsidRPr="00204E38">
              <w:rPr>
                <w:sz w:val="18"/>
                <w:szCs w:val="18"/>
              </w:rPr>
              <w:t>California Public Utilities Commission (CPUC). 2008. “EUL_Summary_10-1-08.xls.”</w:t>
            </w:r>
          </w:p>
          <w:p w14:paraId="0440683C" w14:textId="21701AC1" w:rsidR="00FA3283" w:rsidRPr="00FA3283" w:rsidRDefault="00FA3283" w:rsidP="006852AE">
            <w:pPr>
              <w:keepNext/>
              <w:keepLines/>
              <w:spacing w:before="0" w:after="0" w:line="240" w:lineRule="auto"/>
              <w:rPr>
                <w:rFonts w:eastAsia="Times New Roman" w:cs="Calibri Light"/>
                <w:color w:val="000000"/>
                <w:sz w:val="18"/>
                <w:szCs w:val="18"/>
              </w:rPr>
            </w:pPr>
            <w:r w:rsidRPr="00FA3283">
              <w:rPr>
                <w:rFonts w:eastAsia="Times New Roman" w:cs="Calibri Light"/>
                <w:color w:val="000000"/>
                <w:sz w:val="18"/>
                <w:szCs w:val="18"/>
              </w:rPr>
              <w:t xml:space="preserve">Energy &amp; Resource Solutions (ERS). 2005. </w:t>
            </w:r>
            <w:r w:rsidRPr="00204E38">
              <w:rPr>
                <w:rFonts w:eastAsia="Times New Roman" w:cs="Calibri Light"/>
                <w:i/>
                <w:color w:val="000000"/>
                <w:sz w:val="18"/>
                <w:szCs w:val="18"/>
              </w:rPr>
              <w:t>Measure Life Study</w:t>
            </w:r>
            <w:r w:rsidRPr="00FA3283">
              <w:rPr>
                <w:rFonts w:eastAsia="Times New Roman" w:cs="Calibri Light"/>
                <w:color w:val="000000"/>
                <w:sz w:val="18"/>
                <w:szCs w:val="18"/>
              </w:rPr>
              <w:t>. Prepared for the Massachusetts Joint Utilities.</w:t>
            </w:r>
          </w:p>
        </w:tc>
      </w:tr>
      <w:bookmarkEnd w:id="50"/>
    </w:tbl>
    <w:p w14:paraId="3400D68B" w14:textId="77777777" w:rsidR="002200FE" w:rsidRDefault="002200FE" w:rsidP="004142EF"/>
    <w:p w14:paraId="3B14B593" w14:textId="77777777" w:rsidR="007D230B" w:rsidRPr="004B06E3" w:rsidRDefault="007D230B" w:rsidP="004D29B2">
      <w:pPr>
        <w:pStyle w:val="eTRMHeading3"/>
      </w:pPr>
      <w:bookmarkStart w:id="51" w:name="_Toc486490860"/>
      <w:bookmarkStart w:id="52" w:name="_Toc486580931"/>
      <w:bookmarkStart w:id="53" w:name="_Toc529355978"/>
      <w:r w:rsidRPr="004B06E3">
        <w:t>Base Case Material Cost ($/unit)</w:t>
      </w:r>
      <w:bookmarkEnd w:id="51"/>
      <w:bookmarkEnd w:id="52"/>
      <w:bookmarkEnd w:id="53"/>
    </w:p>
    <w:p w14:paraId="749066FC" w14:textId="2954B4A5" w:rsidR="00C50011" w:rsidRDefault="00C50011" w:rsidP="00C50011">
      <w:r>
        <w:t>Insofar as this measure is add-on equipment, the base case material cost is equal to $0.</w:t>
      </w:r>
    </w:p>
    <w:p w14:paraId="5DA603B3" w14:textId="77777777" w:rsidR="007D230B" w:rsidRPr="004B06E3" w:rsidRDefault="007D230B" w:rsidP="004142EF">
      <w:r w:rsidRPr="004B06E3">
        <w:t> </w:t>
      </w:r>
    </w:p>
    <w:p w14:paraId="44E8DBEB" w14:textId="77777777" w:rsidR="007D230B" w:rsidRPr="004B06E3" w:rsidRDefault="007D230B" w:rsidP="004D29B2">
      <w:pPr>
        <w:pStyle w:val="eTRMHeading3"/>
      </w:pPr>
      <w:bookmarkStart w:id="54" w:name="_Toc486490861"/>
      <w:bookmarkStart w:id="55" w:name="_Toc486580932"/>
      <w:bookmarkStart w:id="56" w:name="_Toc529355979"/>
      <w:r w:rsidRPr="004B06E3">
        <w:t>Measure Case Material Cost ($/unit)</w:t>
      </w:r>
      <w:bookmarkEnd w:id="54"/>
      <w:bookmarkEnd w:id="55"/>
      <w:bookmarkEnd w:id="56"/>
    </w:p>
    <w:p w14:paraId="3449A3CF" w14:textId="1B8CB271" w:rsidR="007D230B" w:rsidRDefault="003C205A" w:rsidP="004142EF">
      <w:r w:rsidRPr="003C205A">
        <w:t xml:space="preserve">The measure case equipment costs are the retail costs of control units (controller, occupancy sensor, and mounting equipment), </w:t>
      </w:r>
      <w:r w:rsidR="00E265D6">
        <w:t xml:space="preserve">were obtained </w:t>
      </w:r>
      <w:r w:rsidRPr="003C205A">
        <w:t>from a major manufacturer</w:t>
      </w:r>
      <w:r w:rsidR="00DC2E2F">
        <w:t xml:space="preserve"> and are updated as of 2020. The market for this type of device has been previously identified to be narrow, with one major manufacturer, and no market changes were noted based on additional research.</w:t>
      </w:r>
    </w:p>
    <w:p w14:paraId="081E0316" w14:textId="0158DE54" w:rsidR="007D230B" w:rsidRDefault="007D230B" w:rsidP="004142EF"/>
    <w:p w14:paraId="023DA56E" w14:textId="25779E7A" w:rsidR="00112334" w:rsidRPr="004B06E3" w:rsidRDefault="00112334" w:rsidP="00112334">
      <w:pPr>
        <w:pStyle w:val="eTRMHeading3"/>
      </w:pPr>
      <w:bookmarkStart w:id="57" w:name="_Toc529355980"/>
      <w:r>
        <w:t xml:space="preserve">Base Case </w:t>
      </w:r>
      <w:r w:rsidRPr="004B06E3">
        <w:t>Labor Cost ($/unit)</w:t>
      </w:r>
      <w:bookmarkEnd w:id="57"/>
    </w:p>
    <w:p w14:paraId="7ADE066C" w14:textId="77777777" w:rsidR="00C50011" w:rsidRDefault="00C50011" w:rsidP="00C50011">
      <w:r>
        <w:t>Insofar as this measure is add-on equipment, the base case labor cost is equal to $0.</w:t>
      </w:r>
    </w:p>
    <w:p w14:paraId="4955F8FC" w14:textId="77777777" w:rsidR="00112334" w:rsidRPr="004B06E3" w:rsidRDefault="00112334" w:rsidP="004142EF"/>
    <w:p w14:paraId="02691007" w14:textId="49FF8288" w:rsidR="007D230B" w:rsidRPr="004B06E3" w:rsidRDefault="00112334" w:rsidP="004D29B2">
      <w:pPr>
        <w:pStyle w:val="eTRMHeading3"/>
      </w:pPr>
      <w:bookmarkStart w:id="58" w:name="_Toc486490862"/>
      <w:bookmarkStart w:id="59" w:name="_Toc486580933"/>
      <w:bookmarkStart w:id="60" w:name="_Toc529355981"/>
      <w:r>
        <w:t xml:space="preserve">Measure Case </w:t>
      </w:r>
      <w:r w:rsidR="007D230B" w:rsidRPr="004B06E3">
        <w:t>Labor Cost ($/unit)</w:t>
      </w:r>
      <w:bookmarkEnd w:id="58"/>
      <w:bookmarkEnd w:id="59"/>
      <w:bookmarkEnd w:id="60"/>
    </w:p>
    <w:p w14:paraId="13989664" w14:textId="0D764C9D" w:rsidR="007D230B" w:rsidRPr="004B06E3" w:rsidRDefault="009C20F2" w:rsidP="004142EF">
      <w:r>
        <w:t xml:space="preserve">Labor cost assumptions </w:t>
      </w:r>
      <w:r w:rsidR="00092300">
        <w:t xml:space="preserve">reflect the miscellaneous labor rate in </w:t>
      </w:r>
      <w:r w:rsidR="00B5180D">
        <w:t xml:space="preserve">RS Means 2020 data. </w:t>
      </w:r>
    </w:p>
    <w:p w14:paraId="6518247C" w14:textId="32FAC4DB" w:rsidR="004D29B2" w:rsidRDefault="004D29B2" w:rsidP="006B6484">
      <w:pPr>
        <w:pStyle w:val="Caption"/>
      </w:pPr>
      <w:r>
        <w:t>Labor Cost Assumptions</w:t>
      </w:r>
    </w:p>
    <w:tbl>
      <w:tblPr>
        <w:tblW w:w="88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335"/>
        <w:gridCol w:w="810"/>
        <w:gridCol w:w="5670"/>
      </w:tblGrid>
      <w:tr w:rsidR="004D29B2" w:rsidRPr="00500C4E" w14:paraId="2CFCCB99" w14:textId="77777777" w:rsidTr="004D29B2">
        <w:trPr>
          <w:cantSplit/>
          <w:trHeight w:val="20"/>
        </w:trPr>
        <w:tc>
          <w:tcPr>
            <w:tcW w:w="2335" w:type="dxa"/>
            <w:shd w:val="clear" w:color="auto" w:fill="F2F2F2" w:themeFill="background1" w:themeFillShade="F2"/>
            <w:vAlign w:val="bottom"/>
          </w:tcPr>
          <w:p w14:paraId="32A08028" w14:textId="1724864C" w:rsidR="004D29B2" w:rsidRPr="00694410" w:rsidRDefault="004D29B2" w:rsidP="00836BD3">
            <w:pPr>
              <w:keepNext/>
              <w:keepLines/>
              <w:spacing w:before="20" w:after="20"/>
              <w:jc w:val="center"/>
              <w:rPr>
                <w:rFonts w:cstheme="minorHAnsi"/>
                <w:b/>
                <w:sz w:val="20"/>
                <w:szCs w:val="20"/>
              </w:rPr>
            </w:pPr>
            <w:r>
              <w:rPr>
                <w:rFonts w:cstheme="minorHAnsi"/>
                <w:b/>
                <w:sz w:val="20"/>
                <w:szCs w:val="20"/>
              </w:rPr>
              <w:t>Parameter</w:t>
            </w:r>
          </w:p>
        </w:tc>
        <w:tc>
          <w:tcPr>
            <w:tcW w:w="810" w:type="dxa"/>
            <w:shd w:val="clear" w:color="auto" w:fill="F2F2F2" w:themeFill="background1" w:themeFillShade="F2"/>
            <w:vAlign w:val="bottom"/>
          </w:tcPr>
          <w:p w14:paraId="52615D8A" w14:textId="0FC67DF0" w:rsidR="004D29B2" w:rsidRDefault="004D29B2" w:rsidP="00836BD3">
            <w:pPr>
              <w:keepNext/>
              <w:keepLines/>
              <w:spacing w:before="20" w:after="20"/>
              <w:jc w:val="center"/>
              <w:rPr>
                <w:rFonts w:cstheme="minorHAnsi"/>
                <w:b/>
                <w:sz w:val="20"/>
                <w:szCs w:val="20"/>
              </w:rPr>
            </w:pPr>
            <w:r>
              <w:rPr>
                <w:rFonts w:cstheme="minorHAnsi"/>
                <w:b/>
                <w:sz w:val="20"/>
                <w:szCs w:val="20"/>
              </w:rPr>
              <w:t>Value</w:t>
            </w:r>
          </w:p>
        </w:tc>
        <w:tc>
          <w:tcPr>
            <w:tcW w:w="5670" w:type="dxa"/>
            <w:shd w:val="clear" w:color="auto" w:fill="F2F2F2" w:themeFill="background1" w:themeFillShade="F2"/>
            <w:vAlign w:val="bottom"/>
          </w:tcPr>
          <w:p w14:paraId="655C9CEB" w14:textId="77777777" w:rsidR="004D29B2" w:rsidRPr="00694410" w:rsidRDefault="004D29B2" w:rsidP="00836BD3">
            <w:pPr>
              <w:keepNext/>
              <w:keepLines/>
              <w:spacing w:before="20" w:after="20"/>
              <w:jc w:val="center"/>
              <w:rPr>
                <w:rFonts w:cstheme="minorHAnsi"/>
                <w:b/>
                <w:sz w:val="20"/>
                <w:szCs w:val="20"/>
              </w:rPr>
            </w:pPr>
            <w:r>
              <w:rPr>
                <w:rFonts w:cstheme="minorHAnsi"/>
                <w:b/>
                <w:sz w:val="20"/>
                <w:szCs w:val="20"/>
              </w:rPr>
              <w:t>Source</w:t>
            </w:r>
          </w:p>
        </w:tc>
      </w:tr>
      <w:tr w:rsidR="004D29B2" w:rsidRPr="006E56A2" w14:paraId="1227D061" w14:textId="77777777" w:rsidTr="004D29B2">
        <w:trPr>
          <w:cantSplit/>
          <w:trHeight w:val="20"/>
        </w:trPr>
        <w:tc>
          <w:tcPr>
            <w:tcW w:w="2335" w:type="dxa"/>
            <w:vAlign w:val="center"/>
          </w:tcPr>
          <w:p w14:paraId="2E0F6548" w14:textId="226F85DC" w:rsidR="004D29B2" w:rsidRPr="004D29B2" w:rsidRDefault="004D29B2" w:rsidP="004D29B2">
            <w:pPr>
              <w:keepNext/>
              <w:keepLines/>
              <w:spacing w:before="20" w:after="20"/>
              <w:rPr>
                <w:sz w:val="20"/>
                <w:szCs w:val="20"/>
              </w:rPr>
            </w:pPr>
            <w:r w:rsidRPr="004D29B2">
              <w:rPr>
                <w:rFonts w:cstheme="minorHAnsi"/>
                <w:sz w:val="20"/>
                <w:szCs w:val="20"/>
              </w:rPr>
              <w:t>Labor Rate ($/unit)</w:t>
            </w:r>
          </w:p>
        </w:tc>
        <w:tc>
          <w:tcPr>
            <w:tcW w:w="810" w:type="dxa"/>
            <w:vAlign w:val="center"/>
          </w:tcPr>
          <w:p w14:paraId="1FAD44AA" w14:textId="295CCE05" w:rsidR="004D29B2" w:rsidRPr="003E3D2F" w:rsidRDefault="00D60118" w:rsidP="00836BD3">
            <w:pPr>
              <w:keepNext/>
              <w:keepLines/>
              <w:spacing w:before="20" w:after="20"/>
              <w:jc w:val="center"/>
              <w:rPr>
                <w:rStyle w:val="eTRMFootnoteTextChar"/>
                <w:sz w:val="20"/>
                <w:szCs w:val="20"/>
              </w:rPr>
            </w:pPr>
            <w:r w:rsidRPr="003E3D2F">
              <w:rPr>
                <w:sz w:val="20"/>
                <w:szCs w:val="20"/>
              </w:rPr>
              <w:t>$9</w:t>
            </w:r>
            <w:r w:rsidRPr="003E3D2F">
              <w:rPr>
                <w:sz w:val="20"/>
              </w:rPr>
              <w:t>1.32</w:t>
            </w:r>
          </w:p>
        </w:tc>
        <w:tc>
          <w:tcPr>
            <w:tcW w:w="5670" w:type="dxa"/>
            <w:vAlign w:val="center"/>
          </w:tcPr>
          <w:p w14:paraId="29F75FED" w14:textId="1AC705AD" w:rsidR="004D29B2" w:rsidRPr="006E56A2" w:rsidRDefault="00D60118" w:rsidP="00DF72D2">
            <w:pPr>
              <w:keepNext/>
              <w:keepLines/>
              <w:spacing w:before="20" w:after="20"/>
              <w:rPr>
                <w:color w:val="FF0000"/>
                <w:sz w:val="18"/>
                <w:szCs w:val="20"/>
              </w:rPr>
            </w:pPr>
            <w:r>
              <w:rPr>
                <w:rStyle w:val="eTRMFootnoteTextChar"/>
                <w:i/>
                <w:szCs w:val="20"/>
              </w:rPr>
              <w:t>2020 Mechanical Cost with RS means data</w:t>
            </w:r>
          </w:p>
        </w:tc>
      </w:tr>
      <w:tr w:rsidR="004D29B2" w:rsidRPr="006E56A2" w14:paraId="0A576079" w14:textId="77777777" w:rsidTr="004D29B2">
        <w:trPr>
          <w:cantSplit/>
          <w:trHeight w:val="20"/>
        </w:trPr>
        <w:tc>
          <w:tcPr>
            <w:tcW w:w="2335" w:type="dxa"/>
            <w:vAlign w:val="center"/>
          </w:tcPr>
          <w:p w14:paraId="267DB296" w14:textId="3C9C8822" w:rsidR="004D29B2" w:rsidRPr="004D29B2" w:rsidRDefault="004D29B2" w:rsidP="004D29B2">
            <w:pPr>
              <w:keepNext/>
              <w:keepLines/>
              <w:spacing w:before="20" w:after="20"/>
              <w:rPr>
                <w:sz w:val="20"/>
                <w:szCs w:val="20"/>
              </w:rPr>
            </w:pPr>
            <w:r w:rsidRPr="004D29B2">
              <w:rPr>
                <w:sz w:val="20"/>
                <w:szCs w:val="20"/>
              </w:rPr>
              <w:t>Labor Hours</w:t>
            </w:r>
          </w:p>
        </w:tc>
        <w:tc>
          <w:tcPr>
            <w:tcW w:w="810" w:type="dxa"/>
            <w:vAlign w:val="center"/>
          </w:tcPr>
          <w:p w14:paraId="3F38DC2A" w14:textId="09C75DC0" w:rsidR="004D29B2" w:rsidRPr="003E3D2F" w:rsidRDefault="009C20F2" w:rsidP="00836BD3">
            <w:pPr>
              <w:keepNext/>
              <w:keepLines/>
              <w:spacing w:before="20" w:after="20"/>
              <w:jc w:val="center"/>
              <w:rPr>
                <w:rStyle w:val="eTRMFootnoteTextChar"/>
                <w:sz w:val="20"/>
                <w:szCs w:val="20"/>
              </w:rPr>
            </w:pPr>
            <w:r w:rsidRPr="003E3D2F">
              <w:rPr>
                <w:rStyle w:val="eTRMFootnoteTextChar"/>
                <w:sz w:val="20"/>
                <w:szCs w:val="20"/>
              </w:rPr>
              <w:t>1.0</w:t>
            </w:r>
          </w:p>
        </w:tc>
        <w:tc>
          <w:tcPr>
            <w:tcW w:w="5670" w:type="dxa"/>
            <w:vAlign w:val="center"/>
          </w:tcPr>
          <w:p w14:paraId="03630F87" w14:textId="60318B06" w:rsidR="004D29B2" w:rsidRPr="00DF72D2" w:rsidRDefault="00DC2E2F" w:rsidP="00836BD3">
            <w:pPr>
              <w:keepNext/>
              <w:keepLines/>
              <w:spacing w:before="20" w:after="20"/>
              <w:rPr>
                <w:rStyle w:val="eTRMFootnoteTextChar"/>
                <w:szCs w:val="20"/>
                <w:highlight w:val="yellow"/>
              </w:rPr>
            </w:pPr>
            <w:r w:rsidRPr="003E3D2F">
              <w:rPr>
                <w:rStyle w:val="eTRMFootnoteTextChar"/>
                <w:szCs w:val="20"/>
              </w:rPr>
              <w:t>Professional Judgement</w:t>
            </w:r>
            <w:r w:rsidR="00E265D6" w:rsidRPr="003E3D2F">
              <w:rPr>
                <w:rStyle w:val="eTRMFootnoteTextChar"/>
                <w:szCs w:val="20"/>
              </w:rPr>
              <w:t>.</w:t>
            </w:r>
          </w:p>
        </w:tc>
      </w:tr>
    </w:tbl>
    <w:p w14:paraId="6EF14EB5" w14:textId="77777777" w:rsidR="004D29B2" w:rsidRPr="004B06E3" w:rsidRDefault="004D29B2" w:rsidP="004142EF"/>
    <w:p w14:paraId="050D9183" w14:textId="7ABF5C13" w:rsidR="007D230B" w:rsidRPr="004B06E3" w:rsidRDefault="004B06E3" w:rsidP="004D29B2">
      <w:pPr>
        <w:pStyle w:val="eTRMHeading3"/>
      </w:pPr>
      <w:bookmarkStart w:id="61" w:name="_Toc486490863"/>
      <w:bookmarkStart w:id="62" w:name="_Toc486580934"/>
      <w:bookmarkStart w:id="63" w:name="_Toc529355982"/>
      <w:r>
        <w:t>Net-to-Gross</w:t>
      </w:r>
      <w:bookmarkEnd w:id="61"/>
      <w:bookmarkEnd w:id="62"/>
      <w:r w:rsidR="008D4652">
        <w:t xml:space="preserve"> (NTG)</w:t>
      </w:r>
      <w:bookmarkEnd w:id="63"/>
    </w:p>
    <w:p w14:paraId="5D414FF5" w14:textId="5E05C256" w:rsidR="00473480" w:rsidRPr="00C33CB0" w:rsidRDefault="00473480" w:rsidP="00473480">
      <w:r w:rsidRPr="00860FEC">
        <w:t xml:space="preserve">The net-to-gross (NTG) ratio represents the portion of gross impacts that are determined to be directly attributed to a specific program intervention. </w:t>
      </w:r>
      <w:r w:rsidRPr="00AF3038">
        <w:t>The</w:t>
      </w:r>
      <w:r w:rsidR="00CA2651">
        <w:t xml:space="preserve"> commercial </w:t>
      </w:r>
      <w:r w:rsidR="009C20F2">
        <w:t xml:space="preserve">and residential </w:t>
      </w:r>
      <w:r w:rsidRPr="00AF3038">
        <w:t>NTG value</w:t>
      </w:r>
      <w:r w:rsidR="00CA2651">
        <w:t xml:space="preserve"> i</w:t>
      </w:r>
      <w:r w:rsidRPr="00AF3038">
        <w:t xml:space="preserve">s based upon the average of all NTG ratios for all evaluated 2006 – 2008 </w:t>
      </w:r>
      <w:r w:rsidR="007F73E0">
        <w:t xml:space="preserve">residential, </w:t>
      </w:r>
      <w:r w:rsidRPr="00AF3038">
        <w:t>commercial</w:t>
      </w:r>
      <w:r w:rsidR="007F73E0">
        <w:t>, industrial, and agriculture</w:t>
      </w:r>
      <w:r w:rsidRPr="00AF3038">
        <w:t xml:space="preserve"> programs, as documented in the 2011 DEER Update Study conducted by Itron, Inc. These sector average NTGs (“default NTGs”) are applicable </w:t>
      </w:r>
      <w:r>
        <w:t xml:space="preserve">to </w:t>
      </w:r>
      <w:r w:rsidRPr="00AF3038">
        <w:t xml:space="preserve">all energy efficiency measures that have been offered </w:t>
      </w:r>
      <w:r>
        <w:t>through</w:t>
      </w:r>
      <w:r w:rsidRPr="00AF3038">
        <w:t xml:space="preserve"> </w:t>
      </w:r>
      <w:r w:rsidR="007F73E0">
        <w:t xml:space="preserve">residential, </w:t>
      </w:r>
      <w:r w:rsidR="007F73E0" w:rsidRPr="00AF3038">
        <w:t>commercial</w:t>
      </w:r>
      <w:r w:rsidR="007F73E0">
        <w:t>, industrial, and agriculture</w:t>
      </w:r>
      <w:r w:rsidR="007F73E0" w:rsidRPr="00AF3038">
        <w:t xml:space="preserve"> </w:t>
      </w:r>
      <w:r>
        <w:t xml:space="preserve">sector </w:t>
      </w:r>
      <w:r w:rsidRPr="00AF3038">
        <w:t>programs for more than two years and for which impact evaluation results are not available.</w:t>
      </w:r>
      <w:r w:rsidRPr="00765218">
        <w:t> </w:t>
      </w:r>
    </w:p>
    <w:p w14:paraId="6693F9B4" w14:textId="1DFD331D" w:rsidR="00473480" w:rsidRDefault="00473480" w:rsidP="006B6484">
      <w:pPr>
        <w:pStyle w:val="Caption"/>
      </w:pPr>
      <w:r>
        <w:lastRenderedPageBreak/>
        <w:t>Net-to-Gross Ratios</w:t>
      </w:r>
    </w:p>
    <w:tbl>
      <w:tblPr>
        <w:tblW w:w="9720" w:type="dxa"/>
        <w:tblInd w:w="-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115" w:type="dxa"/>
          <w:right w:w="115" w:type="dxa"/>
        </w:tblCellMar>
        <w:tblLook w:val="00A0" w:firstRow="1" w:lastRow="0" w:firstColumn="1" w:lastColumn="0" w:noHBand="0" w:noVBand="0"/>
      </w:tblPr>
      <w:tblGrid>
        <w:gridCol w:w="2610"/>
        <w:gridCol w:w="1530"/>
        <w:gridCol w:w="5580"/>
      </w:tblGrid>
      <w:tr w:rsidR="00923BC2" w:rsidRPr="00E265D6" w14:paraId="048C53D8" w14:textId="77777777" w:rsidTr="00C50011">
        <w:tc>
          <w:tcPr>
            <w:tcW w:w="2610" w:type="dxa"/>
            <w:shd w:val="clear" w:color="auto" w:fill="F2F2F2"/>
            <w:vAlign w:val="bottom"/>
          </w:tcPr>
          <w:p w14:paraId="5A34CCC7" w14:textId="77777777" w:rsidR="00923BC2" w:rsidRPr="00E265D6" w:rsidRDefault="00923BC2" w:rsidP="00E265D6">
            <w:pPr>
              <w:keepNext/>
              <w:keepLines/>
              <w:spacing w:before="20" w:after="20" w:line="240" w:lineRule="auto"/>
              <w:jc w:val="center"/>
              <w:rPr>
                <w:rFonts w:eastAsia="Calibri" w:cs="Calibri Light"/>
                <w:b/>
                <w:sz w:val="20"/>
                <w:szCs w:val="22"/>
              </w:rPr>
            </w:pPr>
            <w:bookmarkStart w:id="64" w:name="_Hlk504723782"/>
            <w:r w:rsidRPr="00E265D6">
              <w:rPr>
                <w:rFonts w:eastAsia="Calibri" w:cs="Calibri Light"/>
                <w:b/>
                <w:sz w:val="20"/>
                <w:szCs w:val="22"/>
              </w:rPr>
              <w:t>Parameter</w:t>
            </w:r>
          </w:p>
        </w:tc>
        <w:tc>
          <w:tcPr>
            <w:tcW w:w="1530" w:type="dxa"/>
            <w:shd w:val="clear" w:color="auto" w:fill="F2F2F2"/>
            <w:vAlign w:val="bottom"/>
          </w:tcPr>
          <w:p w14:paraId="36A0C210" w14:textId="234D5ADC" w:rsidR="00923BC2" w:rsidRPr="00E265D6" w:rsidRDefault="00C50011" w:rsidP="00E265D6">
            <w:pPr>
              <w:keepNext/>
              <w:keepLines/>
              <w:spacing w:before="20" w:after="20" w:line="240" w:lineRule="auto"/>
              <w:jc w:val="center"/>
              <w:rPr>
                <w:rFonts w:eastAsia="Calibri" w:cs="Calibri Light"/>
                <w:b/>
                <w:sz w:val="20"/>
                <w:szCs w:val="22"/>
              </w:rPr>
            </w:pPr>
            <w:r>
              <w:rPr>
                <w:rFonts w:eastAsia="Calibri" w:cs="Calibri Light"/>
                <w:b/>
                <w:sz w:val="20"/>
                <w:szCs w:val="22"/>
              </w:rPr>
              <w:t>Value</w:t>
            </w:r>
          </w:p>
        </w:tc>
        <w:tc>
          <w:tcPr>
            <w:tcW w:w="5580" w:type="dxa"/>
            <w:shd w:val="clear" w:color="auto" w:fill="F2F2F2"/>
            <w:vAlign w:val="bottom"/>
          </w:tcPr>
          <w:p w14:paraId="443B3C29" w14:textId="71C39EAF" w:rsidR="00923BC2" w:rsidRPr="00E265D6" w:rsidRDefault="00923BC2" w:rsidP="00E265D6">
            <w:pPr>
              <w:keepNext/>
              <w:keepLines/>
              <w:spacing w:before="20" w:after="20" w:line="240" w:lineRule="auto"/>
              <w:jc w:val="center"/>
              <w:rPr>
                <w:rFonts w:eastAsia="Calibri" w:cs="Calibri Light"/>
                <w:b/>
                <w:sz w:val="20"/>
                <w:szCs w:val="22"/>
              </w:rPr>
            </w:pPr>
            <w:r w:rsidRPr="00E265D6">
              <w:rPr>
                <w:rFonts w:eastAsia="Calibri" w:cs="Calibri Light"/>
                <w:b/>
                <w:sz w:val="20"/>
                <w:szCs w:val="22"/>
              </w:rPr>
              <w:t>Source</w:t>
            </w:r>
          </w:p>
        </w:tc>
      </w:tr>
      <w:tr w:rsidR="007F73E0" w:rsidRPr="00473480" w14:paraId="6E729C2E" w14:textId="77777777" w:rsidTr="00C50011">
        <w:trPr>
          <w:cantSplit/>
          <w:trHeight w:val="20"/>
        </w:trPr>
        <w:tc>
          <w:tcPr>
            <w:tcW w:w="2610" w:type="dxa"/>
            <w:vAlign w:val="center"/>
          </w:tcPr>
          <w:p w14:paraId="16793B92" w14:textId="0FA21C9D" w:rsidR="007F73E0" w:rsidRPr="00204E38" w:rsidRDefault="007F73E0" w:rsidP="007F73E0">
            <w:pPr>
              <w:keepNext/>
              <w:keepLines/>
              <w:spacing w:before="20" w:after="20" w:line="240" w:lineRule="auto"/>
              <w:rPr>
                <w:rFonts w:eastAsia="Calibri" w:cs="Calibri Light"/>
                <w:sz w:val="20"/>
                <w:szCs w:val="20"/>
              </w:rPr>
            </w:pPr>
            <w:r w:rsidRPr="00204E38">
              <w:rPr>
                <w:rFonts w:eastAsia="Calibri" w:cs="Calibri Light"/>
                <w:sz w:val="20"/>
                <w:szCs w:val="20"/>
              </w:rPr>
              <w:t xml:space="preserve">NTG – </w:t>
            </w:r>
            <w:r>
              <w:rPr>
                <w:rFonts w:eastAsia="Calibri" w:cs="Calibri Light"/>
                <w:sz w:val="20"/>
                <w:szCs w:val="20"/>
              </w:rPr>
              <w:t xml:space="preserve">commercial </w:t>
            </w:r>
          </w:p>
        </w:tc>
        <w:tc>
          <w:tcPr>
            <w:tcW w:w="1530" w:type="dxa"/>
            <w:vMerge w:val="restart"/>
            <w:shd w:val="clear" w:color="auto" w:fill="auto"/>
            <w:vAlign w:val="center"/>
          </w:tcPr>
          <w:p w14:paraId="43EF090F" w14:textId="66CBC798" w:rsidR="007F73E0" w:rsidRPr="00112334" w:rsidRDefault="007F73E0" w:rsidP="007F73E0">
            <w:pPr>
              <w:keepNext/>
              <w:keepLines/>
              <w:spacing w:before="20" w:after="20" w:line="240" w:lineRule="auto"/>
              <w:jc w:val="center"/>
              <w:rPr>
                <w:rFonts w:eastAsia="Calibri" w:cs="Calibri Light"/>
                <w:sz w:val="20"/>
                <w:szCs w:val="20"/>
              </w:rPr>
            </w:pPr>
            <w:r w:rsidRPr="00112334">
              <w:rPr>
                <w:rFonts w:eastAsia="Calibri" w:cs="Calibri Light"/>
                <w:sz w:val="20"/>
                <w:szCs w:val="20"/>
              </w:rPr>
              <w:t>0.60</w:t>
            </w:r>
          </w:p>
        </w:tc>
        <w:tc>
          <w:tcPr>
            <w:tcW w:w="5580" w:type="dxa"/>
            <w:vMerge w:val="restart"/>
            <w:vAlign w:val="center"/>
          </w:tcPr>
          <w:p w14:paraId="53552E32" w14:textId="7127177B" w:rsidR="007F73E0" w:rsidRPr="00473480" w:rsidRDefault="007F73E0" w:rsidP="007F73E0">
            <w:pPr>
              <w:keepNext/>
              <w:keepLines/>
              <w:spacing w:before="20" w:after="20" w:line="240" w:lineRule="auto"/>
              <w:rPr>
                <w:rFonts w:ascii="Calibri" w:eastAsia="Times New Roman" w:hAnsi="Calibri" w:cs="Times New Roman"/>
                <w:color w:val="000000"/>
                <w:sz w:val="18"/>
                <w:szCs w:val="18"/>
              </w:rPr>
            </w:pPr>
            <w:r w:rsidRPr="00575E9A">
              <w:rPr>
                <w:sz w:val="18"/>
              </w:rPr>
              <w:t xml:space="preserve">Itron, Inc. 2011. </w:t>
            </w:r>
            <w:r w:rsidRPr="00575E9A">
              <w:rPr>
                <w:i/>
                <w:sz w:val="18"/>
              </w:rPr>
              <w:t>DEER Database 2011 Update Documentation.</w:t>
            </w:r>
            <w:r w:rsidRPr="00575E9A">
              <w:rPr>
                <w:sz w:val="18"/>
              </w:rPr>
              <w:t xml:space="preserve"> Prepared for the California Public Utilities Commission. Page 15-4 Table 15-3.</w:t>
            </w:r>
          </w:p>
        </w:tc>
      </w:tr>
      <w:tr w:rsidR="007F73E0" w:rsidRPr="00473480" w14:paraId="4C389B1B" w14:textId="77777777" w:rsidTr="00C50011">
        <w:trPr>
          <w:cantSplit/>
          <w:trHeight w:val="20"/>
        </w:trPr>
        <w:tc>
          <w:tcPr>
            <w:tcW w:w="2610" w:type="dxa"/>
            <w:vAlign w:val="center"/>
          </w:tcPr>
          <w:p w14:paraId="340D0F58" w14:textId="5930768B" w:rsidR="007F73E0" w:rsidRPr="00204E38" w:rsidRDefault="007F73E0" w:rsidP="007F73E0">
            <w:pPr>
              <w:keepNext/>
              <w:keepLines/>
              <w:spacing w:before="20" w:after="20" w:line="240" w:lineRule="auto"/>
              <w:rPr>
                <w:rFonts w:eastAsia="Calibri" w:cs="Calibri Light"/>
                <w:sz w:val="20"/>
                <w:szCs w:val="20"/>
              </w:rPr>
            </w:pPr>
            <w:r w:rsidRPr="00204E38">
              <w:rPr>
                <w:rFonts w:eastAsia="Calibri" w:cs="Calibri Light"/>
                <w:sz w:val="20"/>
                <w:szCs w:val="20"/>
              </w:rPr>
              <w:t xml:space="preserve">NTG – </w:t>
            </w:r>
            <w:r>
              <w:rPr>
                <w:rFonts w:eastAsia="Calibri" w:cs="Calibri Light"/>
                <w:sz w:val="20"/>
                <w:szCs w:val="20"/>
              </w:rPr>
              <w:t xml:space="preserve">industrial </w:t>
            </w:r>
          </w:p>
        </w:tc>
        <w:tc>
          <w:tcPr>
            <w:tcW w:w="1530" w:type="dxa"/>
            <w:vMerge/>
            <w:shd w:val="clear" w:color="auto" w:fill="auto"/>
            <w:vAlign w:val="center"/>
          </w:tcPr>
          <w:p w14:paraId="74126EB8" w14:textId="77777777" w:rsidR="007F73E0" w:rsidRPr="00112334" w:rsidRDefault="007F73E0" w:rsidP="007F73E0">
            <w:pPr>
              <w:keepNext/>
              <w:keepLines/>
              <w:spacing w:before="20" w:after="20" w:line="240" w:lineRule="auto"/>
              <w:jc w:val="center"/>
              <w:rPr>
                <w:rFonts w:eastAsia="Calibri" w:cs="Calibri Light"/>
                <w:sz w:val="20"/>
                <w:szCs w:val="20"/>
              </w:rPr>
            </w:pPr>
          </w:p>
        </w:tc>
        <w:tc>
          <w:tcPr>
            <w:tcW w:w="5580" w:type="dxa"/>
            <w:vMerge/>
            <w:vAlign w:val="center"/>
          </w:tcPr>
          <w:p w14:paraId="022E7B30" w14:textId="77777777" w:rsidR="007F73E0" w:rsidRPr="00575E9A" w:rsidRDefault="007F73E0" w:rsidP="007F73E0">
            <w:pPr>
              <w:keepNext/>
              <w:keepLines/>
              <w:spacing w:before="20" w:after="20" w:line="240" w:lineRule="auto"/>
              <w:rPr>
                <w:sz w:val="18"/>
              </w:rPr>
            </w:pPr>
          </w:p>
        </w:tc>
      </w:tr>
      <w:tr w:rsidR="007F73E0" w:rsidRPr="00473480" w14:paraId="5CBE8F9B" w14:textId="77777777" w:rsidTr="00C50011">
        <w:trPr>
          <w:cantSplit/>
          <w:trHeight w:val="20"/>
        </w:trPr>
        <w:tc>
          <w:tcPr>
            <w:tcW w:w="2610" w:type="dxa"/>
            <w:vAlign w:val="center"/>
          </w:tcPr>
          <w:p w14:paraId="33E40E2E" w14:textId="3340A596" w:rsidR="007F73E0" w:rsidRPr="00204E38" w:rsidRDefault="007F73E0" w:rsidP="007F73E0">
            <w:pPr>
              <w:keepNext/>
              <w:keepLines/>
              <w:spacing w:before="20" w:after="20" w:line="240" w:lineRule="auto"/>
              <w:rPr>
                <w:rFonts w:eastAsia="Calibri" w:cs="Calibri Light"/>
                <w:sz w:val="20"/>
                <w:szCs w:val="20"/>
              </w:rPr>
            </w:pPr>
            <w:r w:rsidRPr="00204E38">
              <w:rPr>
                <w:rFonts w:eastAsia="Calibri" w:cs="Calibri Light"/>
                <w:sz w:val="20"/>
                <w:szCs w:val="20"/>
              </w:rPr>
              <w:t xml:space="preserve">NTG – </w:t>
            </w:r>
            <w:r>
              <w:rPr>
                <w:rFonts w:eastAsia="Calibri" w:cs="Calibri Light"/>
                <w:sz w:val="20"/>
                <w:szCs w:val="20"/>
              </w:rPr>
              <w:t xml:space="preserve">agriculture </w:t>
            </w:r>
          </w:p>
        </w:tc>
        <w:tc>
          <w:tcPr>
            <w:tcW w:w="1530" w:type="dxa"/>
            <w:vMerge/>
            <w:shd w:val="clear" w:color="auto" w:fill="auto"/>
            <w:vAlign w:val="center"/>
          </w:tcPr>
          <w:p w14:paraId="4F00C783" w14:textId="77777777" w:rsidR="007F73E0" w:rsidRPr="00112334" w:rsidRDefault="007F73E0" w:rsidP="007F73E0">
            <w:pPr>
              <w:keepNext/>
              <w:keepLines/>
              <w:spacing w:before="20" w:after="20" w:line="240" w:lineRule="auto"/>
              <w:jc w:val="center"/>
              <w:rPr>
                <w:rFonts w:eastAsia="Calibri" w:cs="Calibri Light"/>
                <w:sz w:val="20"/>
                <w:szCs w:val="20"/>
              </w:rPr>
            </w:pPr>
          </w:p>
        </w:tc>
        <w:tc>
          <w:tcPr>
            <w:tcW w:w="5580" w:type="dxa"/>
            <w:vMerge/>
            <w:vAlign w:val="center"/>
          </w:tcPr>
          <w:p w14:paraId="6BF2CD65" w14:textId="77777777" w:rsidR="007F73E0" w:rsidRPr="00575E9A" w:rsidRDefault="007F73E0" w:rsidP="007F73E0">
            <w:pPr>
              <w:keepNext/>
              <w:keepLines/>
              <w:spacing w:before="20" w:after="20" w:line="240" w:lineRule="auto"/>
              <w:rPr>
                <w:sz w:val="18"/>
              </w:rPr>
            </w:pPr>
          </w:p>
        </w:tc>
      </w:tr>
      <w:tr w:rsidR="00986CF9" w:rsidRPr="00473480" w14:paraId="2187A1A2" w14:textId="77777777" w:rsidTr="00C50011">
        <w:trPr>
          <w:cantSplit/>
          <w:trHeight w:val="20"/>
        </w:trPr>
        <w:tc>
          <w:tcPr>
            <w:tcW w:w="2610" w:type="dxa"/>
            <w:vAlign w:val="center"/>
          </w:tcPr>
          <w:p w14:paraId="013831D3" w14:textId="521D4555" w:rsidR="00986CF9" w:rsidRPr="00204E38" w:rsidRDefault="00986CF9" w:rsidP="007F73E0">
            <w:pPr>
              <w:keepNext/>
              <w:keepLines/>
              <w:spacing w:before="20" w:after="20" w:line="240" w:lineRule="auto"/>
              <w:rPr>
                <w:rFonts w:eastAsia="Calibri" w:cs="Calibri Light"/>
                <w:sz w:val="20"/>
                <w:szCs w:val="20"/>
              </w:rPr>
            </w:pPr>
            <w:r>
              <w:rPr>
                <w:rFonts w:eastAsia="Calibri" w:cs="Calibri Light"/>
                <w:sz w:val="20"/>
                <w:szCs w:val="20"/>
              </w:rPr>
              <w:t xml:space="preserve">NTG – residential </w:t>
            </w:r>
          </w:p>
        </w:tc>
        <w:tc>
          <w:tcPr>
            <w:tcW w:w="1530" w:type="dxa"/>
            <w:shd w:val="clear" w:color="auto" w:fill="auto"/>
            <w:vAlign w:val="center"/>
          </w:tcPr>
          <w:p w14:paraId="63DC1336" w14:textId="5ADA38DA" w:rsidR="00986CF9" w:rsidRPr="00112334" w:rsidRDefault="00986CF9" w:rsidP="007F73E0">
            <w:pPr>
              <w:keepNext/>
              <w:keepLines/>
              <w:spacing w:before="20" w:after="20" w:line="240" w:lineRule="auto"/>
              <w:jc w:val="center"/>
              <w:rPr>
                <w:rFonts w:eastAsia="Calibri" w:cs="Calibri Light"/>
                <w:sz w:val="20"/>
                <w:szCs w:val="20"/>
              </w:rPr>
            </w:pPr>
            <w:r w:rsidRPr="00112334">
              <w:rPr>
                <w:rFonts w:eastAsia="Calibri" w:cs="Calibri Light"/>
                <w:sz w:val="20"/>
                <w:szCs w:val="20"/>
              </w:rPr>
              <w:t>0.55</w:t>
            </w:r>
          </w:p>
        </w:tc>
        <w:tc>
          <w:tcPr>
            <w:tcW w:w="5580" w:type="dxa"/>
            <w:vMerge/>
            <w:vAlign w:val="center"/>
          </w:tcPr>
          <w:p w14:paraId="0CD9FB3A" w14:textId="77777777" w:rsidR="00986CF9" w:rsidRPr="00575E9A" w:rsidRDefault="00986CF9" w:rsidP="007F73E0">
            <w:pPr>
              <w:keepNext/>
              <w:keepLines/>
              <w:spacing w:before="20" w:after="20" w:line="240" w:lineRule="auto"/>
              <w:rPr>
                <w:sz w:val="18"/>
              </w:rPr>
            </w:pPr>
          </w:p>
        </w:tc>
      </w:tr>
      <w:bookmarkEnd w:id="64"/>
    </w:tbl>
    <w:p w14:paraId="35815455" w14:textId="77777777" w:rsidR="00473480" w:rsidRDefault="00473480" w:rsidP="004142EF"/>
    <w:p w14:paraId="323B5B02" w14:textId="4C4B13DC" w:rsidR="007D230B" w:rsidRPr="004B06E3" w:rsidRDefault="00D02C36" w:rsidP="004D29B2">
      <w:pPr>
        <w:pStyle w:val="eTRMHeading3"/>
      </w:pPr>
      <w:bookmarkStart w:id="65" w:name="_Toc486490864"/>
      <w:bookmarkStart w:id="66" w:name="_Toc486580935"/>
      <w:bookmarkStart w:id="67" w:name="_Toc529355983"/>
      <w:r>
        <w:t>Gross Savings Installation Adjustment (</w:t>
      </w:r>
      <w:r w:rsidR="007D230B" w:rsidRPr="004B06E3">
        <w:t>GSIA</w:t>
      </w:r>
      <w:bookmarkEnd w:id="65"/>
      <w:bookmarkEnd w:id="66"/>
      <w:r>
        <w:t>)</w:t>
      </w:r>
      <w:bookmarkEnd w:id="67"/>
    </w:p>
    <w:p w14:paraId="45536E01" w14:textId="159E9928" w:rsidR="00473480" w:rsidRPr="006A66DA" w:rsidRDefault="00473480" w:rsidP="00473480">
      <w:pPr>
        <w:rPr>
          <w:rFonts w:cs="Arial"/>
        </w:rPr>
      </w:pPr>
      <w:r w:rsidRPr="00AD00D3">
        <w:t xml:space="preserve">The </w:t>
      </w:r>
      <w:r>
        <w:t xml:space="preserve">gross savings </w:t>
      </w:r>
      <w:r w:rsidRPr="00AD00D3">
        <w:t xml:space="preserve">installation </w:t>
      </w:r>
      <w:r>
        <w:t xml:space="preserve">adjustment (GSIA) rate </w:t>
      </w:r>
      <w:r w:rsidRPr="00AD00D3">
        <w:t xml:space="preserve">represents the ratio of the number of verified installations of the measure to the number of claimed installations </w:t>
      </w:r>
      <w:r>
        <w:t>reported</w:t>
      </w:r>
      <w:r w:rsidRPr="00AD00D3">
        <w:t xml:space="preserve"> by the utility. </w:t>
      </w:r>
      <w:r>
        <w:t>This factor</w:t>
      </w:r>
      <w:r w:rsidRPr="00AD00D3">
        <w:t xml:space="preserve"> varies by end use, sector, technology, application, and delivery method.</w:t>
      </w:r>
      <w:r>
        <w:t xml:space="preserve"> This GSIA rate is the current “default” rate specified for measures for which an alternative GSIA has not been estimated and approved.</w:t>
      </w:r>
    </w:p>
    <w:p w14:paraId="022915CE" w14:textId="0C085C0A" w:rsidR="00DE1A0F" w:rsidRPr="0059426D" w:rsidRDefault="00112334" w:rsidP="006B6484">
      <w:pPr>
        <w:pStyle w:val="Caption"/>
      </w:pPr>
      <w:r>
        <w:t>Gross Savings Installation Adjustment</w:t>
      </w:r>
    </w:p>
    <w:tbl>
      <w:tblPr>
        <w:tblW w:w="9720" w:type="dxa"/>
        <w:tblInd w:w="-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115" w:type="dxa"/>
          <w:right w:w="115" w:type="dxa"/>
        </w:tblCellMar>
        <w:tblLook w:val="00A0" w:firstRow="1" w:lastRow="0" w:firstColumn="1" w:lastColumn="0" w:noHBand="0" w:noVBand="0"/>
      </w:tblPr>
      <w:tblGrid>
        <w:gridCol w:w="2610"/>
        <w:gridCol w:w="1980"/>
        <w:gridCol w:w="5130"/>
      </w:tblGrid>
      <w:tr w:rsidR="00473480" w:rsidRPr="00473480" w14:paraId="0AF4EAD2" w14:textId="77777777" w:rsidTr="00C50011">
        <w:tc>
          <w:tcPr>
            <w:tcW w:w="2610" w:type="dxa"/>
            <w:shd w:val="clear" w:color="auto" w:fill="F2F2F2"/>
            <w:vAlign w:val="bottom"/>
          </w:tcPr>
          <w:p w14:paraId="476A0B5D" w14:textId="77777777" w:rsidR="00473480" w:rsidRPr="00473480" w:rsidRDefault="00473480" w:rsidP="00473480">
            <w:pPr>
              <w:keepNext/>
              <w:keepLines/>
              <w:spacing w:before="0" w:after="0" w:line="200" w:lineRule="atLeast"/>
              <w:jc w:val="center"/>
              <w:rPr>
                <w:rFonts w:eastAsia="Calibri" w:cs="Calibri Light"/>
                <w:b/>
                <w:sz w:val="20"/>
                <w:szCs w:val="22"/>
              </w:rPr>
            </w:pPr>
            <w:bookmarkStart w:id="68" w:name="_Hlk504723898"/>
            <w:r w:rsidRPr="00473480">
              <w:rPr>
                <w:rFonts w:eastAsia="Calibri" w:cs="Calibri Light"/>
                <w:b/>
                <w:sz w:val="20"/>
                <w:szCs w:val="22"/>
              </w:rPr>
              <w:t>Parameter</w:t>
            </w:r>
          </w:p>
        </w:tc>
        <w:tc>
          <w:tcPr>
            <w:tcW w:w="1980" w:type="dxa"/>
            <w:shd w:val="clear" w:color="auto" w:fill="F2F2F2"/>
          </w:tcPr>
          <w:p w14:paraId="4A42BE49" w14:textId="7854B463" w:rsidR="00473480" w:rsidRPr="00473480" w:rsidRDefault="00C50011" w:rsidP="006F03C1">
            <w:pPr>
              <w:keepNext/>
              <w:keepLines/>
              <w:spacing w:before="0" w:after="0" w:line="200" w:lineRule="atLeast"/>
              <w:jc w:val="center"/>
              <w:rPr>
                <w:rFonts w:eastAsia="Calibri" w:cs="Calibri Light"/>
                <w:b/>
                <w:sz w:val="20"/>
                <w:szCs w:val="22"/>
              </w:rPr>
            </w:pPr>
            <w:r>
              <w:rPr>
                <w:rFonts w:cstheme="minorHAnsi"/>
                <w:b/>
                <w:sz w:val="20"/>
                <w:szCs w:val="20"/>
              </w:rPr>
              <w:t>Value</w:t>
            </w:r>
          </w:p>
        </w:tc>
        <w:tc>
          <w:tcPr>
            <w:tcW w:w="5130" w:type="dxa"/>
            <w:shd w:val="clear" w:color="auto" w:fill="F2F2F2"/>
            <w:vAlign w:val="bottom"/>
          </w:tcPr>
          <w:p w14:paraId="4FCD1D96" w14:textId="77777777" w:rsidR="00473480" w:rsidRPr="00473480" w:rsidRDefault="00473480" w:rsidP="00473480">
            <w:pPr>
              <w:keepNext/>
              <w:keepLines/>
              <w:spacing w:before="0" w:after="0" w:line="200" w:lineRule="atLeast"/>
              <w:jc w:val="center"/>
              <w:rPr>
                <w:rFonts w:eastAsia="Calibri" w:cs="Calibri Light"/>
                <w:b/>
                <w:sz w:val="20"/>
                <w:szCs w:val="22"/>
              </w:rPr>
            </w:pPr>
            <w:r w:rsidRPr="00473480">
              <w:rPr>
                <w:rFonts w:eastAsia="Calibri" w:cs="Calibri Light"/>
                <w:b/>
                <w:sz w:val="20"/>
                <w:szCs w:val="22"/>
              </w:rPr>
              <w:t>Source</w:t>
            </w:r>
          </w:p>
        </w:tc>
      </w:tr>
      <w:tr w:rsidR="00473480" w:rsidRPr="00473480" w14:paraId="2F8ABDBF" w14:textId="77777777" w:rsidTr="00C50011">
        <w:trPr>
          <w:trHeight w:val="260"/>
        </w:trPr>
        <w:tc>
          <w:tcPr>
            <w:tcW w:w="2610" w:type="dxa"/>
            <w:vAlign w:val="center"/>
          </w:tcPr>
          <w:p w14:paraId="70E14045" w14:textId="77777777" w:rsidR="00473480" w:rsidRPr="00473480" w:rsidRDefault="00473480" w:rsidP="00473480">
            <w:pPr>
              <w:keepNext/>
              <w:keepLines/>
              <w:spacing w:before="0" w:after="0" w:line="200" w:lineRule="atLeast"/>
              <w:rPr>
                <w:rFonts w:eastAsia="Calibri" w:cs="Calibri Light"/>
                <w:sz w:val="20"/>
                <w:szCs w:val="22"/>
              </w:rPr>
            </w:pPr>
            <w:r w:rsidRPr="00473480">
              <w:rPr>
                <w:rFonts w:eastAsia="Calibri" w:cs="Calibri Light"/>
                <w:sz w:val="20"/>
                <w:szCs w:val="22"/>
              </w:rPr>
              <w:t>GSIA</w:t>
            </w:r>
          </w:p>
        </w:tc>
        <w:tc>
          <w:tcPr>
            <w:tcW w:w="1980" w:type="dxa"/>
            <w:shd w:val="clear" w:color="auto" w:fill="auto"/>
            <w:vAlign w:val="center"/>
          </w:tcPr>
          <w:p w14:paraId="0C6B89EF" w14:textId="77777777" w:rsidR="00473480" w:rsidRPr="00112334" w:rsidRDefault="00473480" w:rsidP="00473480">
            <w:pPr>
              <w:keepNext/>
              <w:keepLines/>
              <w:spacing w:before="0" w:after="0" w:line="200" w:lineRule="atLeast"/>
              <w:jc w:val="center"/>
              <w:rPr>
                <w:rFonts w:eastAsia="Calibri" w:cs="Calibri Light"/>
                <w:sz w:val="20"/>
                <w:szCs w:val="22"/>
              </w:rPr>
            </w:pPr>
            <w:r w:rsidRPr="00112334">
              <w:rPr>
                <w:rFonts w:eastAsia="Calibri" w:cs="Calibri Light"/>
                <w:sz w:val="20"/>
                <w:szCs w:val="20"/>
              </w:rPr>
              <w:t>1.0</w:t>
            </w:r>
          </w:p>
        </w:tc>
        <w:tc>
          <w:tcPr>
            <w:tcW w:w="5130" w:type="dxa"/>
            <w:vAlign w:val="center"/>
          </w:tcPr>
          <w:p w14:paraId="0D848263" w14:textId="77777777" w:rsidR="00473480" w:rsidRPr="00473480" w:rsidRDefault="00473480" w:rsidP="00473480">
            <w:pPr>
              <w:keepNext/>
              <w:keepLines/>
              <w:spacing w:before="0" w:after="0" w:line="240" w:lineRule="auto"/>
              <w:rPr>
                <w:rFonts w:eastAsia="Times New Roman" w:cs="Calibri Light"/>
                <w:color w:val="000000"/>
                <w:sz w:val="18"/>
                <w:szCs w:val="18"/>
              </w:rPr>
            </w:pPr>
            <w:r w:rsidRPr="00473480">
              <w:rPr>
                <w:rFonts w:eastAsia="Times New Roman" w:cs="Calibri Light"/>
                <w:color w:val="000000"/>
                <w:sz w:val="18"/>
                <w:szCs w:val="18"/>
              </w:rPr>
              <w:t xml:space="preserve">California Public Utilities Commission (CPUC), Energy Division. 2013. </w:t>
            </w:r>
            <w:r w:rsidRPr="00473480">
              <w:rPr>
                <w:rFonts w:eastAsia="Times New Roman" w:cs="Calibri Light"/>
                <w:i/>
                <w:color w:val="000000"/>
                <w:sz w:val="18"/>
                <w:szCs w:val="18"/>
              </w:rPr>
              <w:t>Energy Efficiency Policy Manual Version 5</w:t>
            </w:r>
            <w:r w:rsidRPr="00473480">
              <w:rPr>
                <w:rFonts w:eastAsia="Times New Roman" w:cs="Calibri Light"/>
                <w:color w:val="000000"/>
                <w:sz w:val="18"/>
                <w:szCs w:val="18"/>
              </w:rPr>
              <w:t>. Page 31.</w:t>
            </w:r>
          </w:p>
        </w:tc>
      </w:tr>
      <w:bookmarkEnd w:id="68"/>
    </w:tbl>
    <w:p w14:paraId="4F44D242" w14:textId="77777777" w:rsidR="00473480" w:rsidRDefault="00473480" w:rsidP="00DE1A0F">
      <w:pPr>
        <w:rPr>
          <w:rFonts w:cs="Arial"/>
          <w:sz w:val="20"/>
          <w:szCs w:val="20"/>
        </w:rPr>
      </w:pPr>
    </w:p>
    <w:p w14:paraId="387EFE5B" w14:textId="77777777" w:rsidR="006F03C1" w:rsidRPr="004B06E3" w:rsidRDefault="006F03C1" w:rsidP="006F03C1">
      <w:pPr>
        <w:pStyle w:val="eTRMHeading3"/>
      </w:pPr>
      <w:bookmarkStart w:id="69" w:name="_Toc486490865"/>
      <w:bookmarkStart w:id="70" w:name="_Toc486580936"/>
      <w:bookmarkStart w:id="71" w:name="_Toc506223139"/>
      <w:bookmarkStart w:id="72" w:name="_Toc529355984"/>
      <w:r w:rsidRPr="004B06E3">
        <w:t xml:space="preserve">Non-Energy </w:t>
      </w:r>
      <w:bookmarkEnd w:id="69"/>
      <w:bookmarkEnd w:id="70"/>
      <w:bookmarkEnd w:id="71"/>
      <w:r>
        <w:t>Impacts</w:t>
      </w:r>
      <w:bookmarkEnd w:id="72"/>
    </w:p>
    <w:p w14:paraId="7AF0BCAD" w14:textId="77777777" w:rsidR="006F03C1" w:rsidRDefault="006F03C1" w:rsidP="006F03C1">
      <w:r>
        <w:t>Non-energy impacts for this measure have not been quantified.</w:t>
      </w:r>
    </w:p>
    <w:p w14:paraId="1BCB0A7E" w14:textId="1404813C" w:rsidR="002C67DF" w:rsidRDefault="002C67DF" w:rsidP="004142EF"/>
    <w:p w14:paraId="7D8551BB" w14:textId="760F7D39" w:rsidR="009C31A4" w:rsidRPr="004B06E3" w:rsidRDefault="009C31A4" w:rsidP="004D29B2">
      <w:pPr>
        <w:pStyle w:val="eTRMHeading3"/>
      </w:pPr>
      <w:bookmarkStart w:id="73" w:name="_Toc529355985"/>
      <w:r>
        <w:t>DEER Differences Analysis</w:t>
      </w:r>
      <w:bookmarkEnd w:id="73"/>
    </w:p>
    <w:p w14:paraId="575E579E" w14:textId="11E5F509" w:rsidR="002C67DF" w:rsidRDefault="003F21D2" w:rsidP="004142EF">
      <w:r>
        <w:t>This section provides a summary of DEER-based inputs and methods, and the rationale for inputs and methods that are not DEER-based.</w:t>
      </w:r>
    </w:p>
    <w:p w14:paraId="756C62FB" w14:textId="37BF92F9" w:rsidR="00EA057C" w:rsidRPr="00920905" w:rsidRDefault="00EA057C" w:rsidP="006B6484">
      <w:pPr>
        <w:pStyle w:val="Caption"/>
      </w:pPr>
      <w:r w:rsidRPr="00920905">
        <w:lastRenderedPageBreak/>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EA057C" w:rsidRPr="00500C4E" w14:paraId="59D017C8" w14:textId="77777777" w:rsidTr="00EA057C">
        <w:trPr>
          <w:trHeight w:val="20"/>
        </w:trPr>
        <w:tc>
          <w:tcPr>
            <w:tcW w:w="1730" w:type="pct"/>
            <w:shd w:val="clear" w:color="auto" w:fill="F2F2F2" w:themeFill="background1" w:themeFillShade="F2"/>
          </w:tcPr>
          <w:p w14:paraId="5A1E2CE5" w14:textId="77777777" w:rsidR="00EA057C" w:rsidRPr="00EA057C" w:rsidRDefault="00EA057C" w:rsidP="00EA057C">
            <w:pPr>
              <w:keepNext/>
              <w:keepLines/>
              <w:tabs>
                <w:tab w:val="right" w:pos="2957"/>
              </w:tabs>
              <w:spacing w:before="20" w:after="20"/>
              <w:rPr>
                <w:rFonts w:cs="Arial"/>
                <w:b/>
                <w:sz w:val="20"/>
                <w:szCs w:val="20"/>
              </w:rPr>
            </w:pPr>
            <w:r w:rsidRPr="00EA057C">
              <w:rPr>
                <w:rFonts w:cs="Arial"/>
                <w:b/>
                <w:sz w:val="20"/>
                <w:szCs w:val="20"/>
              </w:rPr>
              <w:t>DEER Item</w:t>
            </w:r>
          </w:p>
        </w:tc>
        <w:tc>
          <w:tcPr>
            <w:tcW w:w="3270" w:type="pct"/>
            <w:shd w:val="clear" w:color="auto" w:fill="F2F2F2" w:themeFill="background1" w:themeFillShade="F2"/>
          </w:tcPr>
          <w:p w14:paraId="52AD34D1" w14:textId="4B761BCB" w:rsidR="00EA057C" w:rsidRPr="00EA057C" w:rsidRDefault="00EA057C" w:rsidP="00EA057C">
            <w:pPr>
              <w:keepNext/>
              <w:keepLines/>
              <w:spacing w:before="20" w:after="20"/>
              <w:rPr>
                <w:rFonts w:cs="Arial"/>
                <w:b/>
                <w:sz w:val="20"/>
                <w:szCs w:val="20"/>
              </w:rPr>
            </w:pPr>
            <w:r>
              <w:rPr>
                <w:rFonts w:cs="Arial"/>
                <w:b/>
                <w:sz w:val="20"/>
                <w:szCs w:val="20"/>
              </w:rPr>
              <w:t xml:space="preserve">Comment </w:t>
            </w:r>
          </w:p>
        </w:tc>
      </w:tr>
      <w:tr w:rsidR="00EA057C" w:rsidRPr="00500C4E" w14:paraId="33003020" w14:textId="77777777" w:rsidTr="00EA057C">
        <w:trPr>
          <w:trHeight w:val="20"/>
        </w:trPr>
        <w:tc>
          <w:tcPr>
            <w:tcW w:w="1730" w:type="pct"/>
          </w:tcPr>
          <w:p w14:paraId="1F2D360A" w14:textId="77777777" w:rsidR="00EA057C" w:rsidRPr="00EA057C" w:rsidRDefault="00EA057C" w:rsidP="00EA057C">
            <w:pPr>
              <w:keepNext/>
              <w:keepLines/>
              <w:spacing w:before="20" w:after="20"/>
              <w:rPr>
                <w:rFonts w:cs="Arial"/>
                <w:sz w:val="20"/>
                <w:szCs w:val="20"/>
              </w:rPr>
            </w:pPr>
            <w:r w:rsidRPr="00EA057C">
              <w:rPr>
                <w:rFonts w:cs="Arial"/>
                <w:sz w:val="20"/>
                <w:szCs w:val="20"/>
              </w:rPr>
              <w:t>Modified DEER methodology</w:t>
            </w:r>
          </w:p>
        </w:tc>
        <w:tc>
          <w:tcPr>
            <w:tcW w:w="3270" w:type="pct"/>
          </w:tcPr>
          <w:p w14:paraId="247EE411" w14:textId="52258835" w:rsidR="00EA057C" w:rsidRPr="00112334" w:rsidRDefault="00A77D6F" w:rsidP="00EA057C">
            <w:pPr>
              <w:keepNext/>
              <w:keepLines/>
              <w:spacing w:before="20" w:after="20"/>
              <w:rPr>
                <w:rFonts w:cs="Arial"/>
                <w:sz w:val="20"/>
                <w:szCs w:val="20"/>
              </w:rPr>
            </w:pPr>
            <w:r w:rsidRPr="00112334">
              <w:rPr>
                <w:rFonts w:cs="Arial"/>
                <w:sz w:val="20"/>
                <w:szCs w:val="20"/>
              </w:rPr>
              <w:t>No</w:t>
            </w:r>
          </w:p>
        </w:tc>
      </w:tr>
      <w:tr w:rsidR="00EA057C" w:rsidRPr="00500C4E" w14:paraId="507422EA" w14:textId="77777777" w:rsidTr="00EA057C">
        <w:trPr>
          <w:trHeight w:val="20"/>
        </w:trPr>
        <w:tc>
          <w:tcPr>
            <w:tcW w:w="1730" w:type="pct"/>
          </w:tcPr>
          <w:p w14:paraId="29430E33" w14:textId="77777777" w:rsidR="00EA057C" w:rsidRPr="00EA057C" w:rsidRDefault="00EA057C" w:rsidP="00EA057C">
            <w:pPr>
              <w:keepNext/>
              <w:keepLines/>
              <w:spacing w:before="20" w:after="20"/>
              <w:rPr>
                <w:rFonts w:cs="Arial"/>
                <w:sz w:val="20"/>
                <w:szCs w:val="20"/>
              </w:rPr>
            </w:pPr>
            <w:r w:rsidRPr="00EA057C">
              <w:rPr>
                <w:rFonts w:cs="Arial"/>
                <w:sz w:val="20"/>
                <w:szCs w:val="20"/>
              </w:rPr>
              <w:t>Scaled DEER measure</w:t>
            </w:r>
          </w:p>
        </w:tc>
        <w:tc>
          <w:tcPr>
            <w:tcW w:w="3270" w:type="pct"/>
          </w:tcPr>
          <w:p w14:paraId="0C847473" w14:textId="1D3A48D1" w:rsidR="00EA057C" w:rsidRPr="00204E38" w:rsidRDefault="00A77D6F" w:rsidP="00EA057C">
            <w:pPr>
              <w:keepNext/>
              <w:keepLines/>
              <w:spacing w:before="20" w:after="20"/>
              <w:rPr>
                <w:rFonts w:cs="Arial"/>
                <w:sz w:val="20"/>
                <w:szCs w:val="20"/>
              </w:rPr>
            </w:pPr>
            <w:r w:rsidRPr="00204E38">
              <w:rPr>
                <w:rFonts w:cs="Arial"/>
                <w:sz w:val="20"/>
                <w:szCs w:val="20"/>
              </w:rPr>
              <w:t>No</w:t>
            </w:r>
          </w:p>
        </w:tc>
      </w:tr>
      <w:tr w:rsidR="00EA057C" w:rsidRPr="00500C4E" w14:paraId="335CDE40" w14:textId="77777777" w:rsidTr="00EA057C">
        <w:trPr>
          <w:trHeight w:val="20"/>
        </w:trPr>
        <w:tc>
          <w:tcPr>
            <w:tcW w:w="1730" w:type="pct"/>
          </w:tcPr>
          <w:p w14:paraId="126C3B42" w14:textId="77777777" w:rsidR="00EA057C" w:rsidRPr="00EA057C" w:rsidRDefault="00EA057C" w:rsidP="00EA057C">
            <w:pPr>
              <w:keepNext/>
              <w:keepLines/>
              <w:spacing w:before="20" w:after="20"/>
              <w:rPr>
                <w:rFonts w:cs="Arial"/>
                <w:sz w:val="20"/>
                <w:szCs w:val="20"/>
              </w:rPr>
            </w:pPr>
            <w:r w:rsidRPr="00EA057C">
              <w:rPr>
                <w:rFonts w:cs="Arial"/>
                <w:sz w:val="20"/>
                <w:szCs w:val="20"/>
              </w:rPr>
              <w:t>DEER Base Case</w:t>
            </w:r>
          </w:p>
        </w:tc>
        <w:tc>
          <w:tcPr>
            <w:tcW w:w="3270" w:type="pct"/>
          </w:tcPr>
          <w:p w14:paraId="5D2A1B0E" w14:textId="454FD642" w:rsidR="00EA057C" w:rsidRPr="00204E38" w:rsidRDefault="00A77D6F" w:rsidP="00EA057C">
            <w:pPr>
              <w:keepNext/>
              <w:keepLines/>
              <w:spacing w:before="20" w:after="20"/>
              <w:rPr>
                <w:rFonts w:cs="Arial"/>
                <w:sz w:val="20"/>
                <w:szCs w:val="20"/>
              </w:rPr>
            </w:pPr>
            <w:r w:rsidRPr="00204E38">
              <w:rPr>
                <w:rFonts w:cs="Arial"/>
                <w:sz w:val="20"/>
                <w:szCs w:val="20"/>
              </w:rPr>
              <w:t>No</w:t>
            </w:r>
          </w:p>
        </w:tc>
      </w:tr>
      <w:tr w:rsidR="00EA057C" w:rsidRPr="00500C4E" w14:paraId="1F8399E1" w14:textId="77777777" w:rsidTr="00EA057C">
        <w:trPr>
          <w:trHeight w:val="20"/>
        </w:trPr>
        <w:tc>
          <w:tcPr>
            <w:tcW w:w="1730" w:type="pct"/>
          </w:tcPr>
          <w:p w14:paraId="0CC701E3" w14:textId="77777777" w:rsidR="00EA057C" w:rsidRPr="00EA057C" w:rsidRDefault="00EA057C" w:rsidP="00EA057C">
            <w:pPr>
              <w:keepNext/>
              <w:keepLines/>
              <w:spacing w:before="20" w:after="20"/>
              <w:rPr>
                <w:rFonts w:cs="Arial"/>
                <w:sz w:val="20"/>
                <w:szCs w:val="20"/>
              </w:rPr>
            </w:pPr>
            <w:r w:rsidRPr="00EA057C">
              <w:rPr>
                <w:rFonts w:cs="Arial"/>
                <w:sz w:val="20"/>
                <w:szCs w:val="20"/>
              </w:rPr>
              <w:t>DEER Measure Case</w:t>
            </w:r>
          </w:p>
        </w:tc>
        <w:tc>
          <w:tcPr>
            <w:tcW w:w="3270" w:type="pct"/>
          </w:tcPr>
          <w:p w14:paraId="49A023A0" w14:textId="4CE1E368" w:rsidR="00EA057C" w:rsidRPr="00204E38" w:rsidRDefault="00A77D6F" w:rsidP="00EA057C">
            <w:pPr>
              <w:keepNext/>
              <w:keepLines/>
              <w:spacing w:before="20" w:after="20"/>
              <w:rPr>
                <w:rFonts w:cs="Arial"/>
                <w:sz w:val="20"/>
                <w:szCs w:val="20"/>
              </w:rPr>
            </w:pPr>
            <w:r w:rsidRPr="00204E38">
              <w:rPr>
                <w:rFonts w:cs="Arial"/>
                <w:sz w:val="20"/>
                <w:szCs w:val="20"/>
              </w:rPr>
              <w:t>No</w:t>
            </w:r>
          </w:p>
        </w:tc>
      </w:tr>
      <w:tr w:rsidR="00EA057C" w:rsidRPr="00500C4E" w14:paraId="663742C6" w14:textId="77777777" w:rsidTr="00EA057C">
        <w:trPr>
          <w:trHeight w:val="20"/>
        </w:trPr>
        <w:tc>
          <w:tcPr>
            <w:tcW w:w="1730" w:type="pct"/>
          </w:tcPr>
          <w:p w14:paraId="16B2FDAB" w14:textId="77777777" w:rsidR="00EA057C" w:rsidRPr="00EA057C" w:rsidRDefault="00EA057C" w:rsidP="00EA057C">
            <w:pPr>
              <w:keepNext/>
              <w:keepLines/>
              <w:spacing w:before="20" w:after="20"/>
              <w:rPr>
                <w:rFonts w:cs="Arial"/>
                <w:sz w:val="20"/>
                <w:szCs w:val="20"/>
              </w:rPr>
            </w:pPr>
            <w:r w:rsidRPr="00EA057C">
              <w:rPr>
                <w:rFonts w:cs="Arial"/>
                <w:sz w:val="20"/>
                <w:szCs w:val="20"/>
              </w:rPr>
              <w:t>DEER Building Types</w:t>
            </w:r>
          </w:p>
        </w:tc>
        <w:tc>
          <w:tcPr>
            <w:tcW w:w="3270" w:type="pct"/>
          </w:tcPr>
          <w:p w14:paraId="6BBA540C" w14:textId="1A1B8F6A" w:rsidR="00EA057C" w:rsidRPr="00204E38" w:rsidRDefault="00A77D6F" w:rsidP="00EA057C">
            <w:pPr>
              <w:keepNext/>
              <w:keepLines/>
              <w:spacing w:before="20" w:after="20"/>
              <w:rPr>
                <w:rFonts w:cs="Arial"/>
                <w:sz w:val="20"/>
                <w:szCs w:val="20"/>
              </w:rPr>
            </w:pPr>
            <w:r w:rsidRPr="00204E38">
              <w:rPr>
                <w:rFonts w:cs="Arial"/>
                <w:sz w:val="20"/>
                <w:szCs w:val="20"/>
              </w:rPr>
              <w:t>Yes</w:t>
            </w:r>
          </w:p>
        </w:tc>
      </w:tr>
      <w:tr w:rsidR="00EA057C" w:rsidRPr="00500C4E" w14:paraId="424F1325" w14:textId="77777777" w:rsidTr="00EA057C">
        <w:trPr>
          <w:trHeight w:val="20"/>
        </w:trPr>
        <w:tc>
          <w:tcPr>
            <w:tcW w:w="1730" w:type="pct"/>
          </w:tcPr>
          <w:p w14:paraId="71098DDA" w14:textId="77777777" w:rsidR="00EA057C" w:rsidRPr="00EA057C" w:rsidRDefault="00EA057C" w:rsidP="00EA057C">
            <w:pPr>
              <w:keepNext/>
              <w:keepLines/>
              <w:spacing w:before="20" w:after="20"/>
              <w:rPr>
                <w:rFonts w:cs="Arial"/>
                <w:sz w:val="20"/>
                <w:szCs w:val="20"/>
              </w:rPr>
            </w:pPr>
            <w:r w:rsidRPr="00EA057C">
              <w:rPr>
                <w:rFonts w:cs="Arial"/>
                <w:sz w:val="20"/>
                <w:szCs w:val="20"/>
              </w:rPr>
              <w:t>DEER Operating Hours</w:t>
            </w:r>
          </w:p>
        </w:tc>
        <w:tc>
          <w:tcPr>
            <w:tcW w:w="3270" w:type="pct"/>
          </w:tcPr>
          <w:p w14:paraId="1693E1EE" w14:textId="2B08ED45" w:rsidR="00EA057C" w:rsidRPr="00204E38" w:rsidRDefault="00A77D6F" w:rsidP="00EA057C">
            <w:pPr>
              <w:keepNext/>
              <w:keepLines/>
              <w:spacing w:before="20" w:after="20"/>
              <w:rPr>
                <w:rFonts w:cs="Arial"/>
                <w:sz w:val="20"/>
                <w:szCs w:val="20"/>
              </w:rPr>
            </w:pPr>
            <w:r w:rsidRPr="00204E38">
              <w:rPr>
                <w:rFonts w:cs="Arial"/>
                <w:sz w:val="20"/>
                <w:szCs w:val="20"/>
              </w:rPr>
              <w:t>Yes</w:t>
            </w:r>
          </w:p>
        </w:tc>
      </w:tr>
      <w:tr w:rsidR="00EA057C" w:rsidRPr="00500C4E" w14:paraId="0B93AD47" w14:textId="77777777" w:rsidTr="00EA057C">
        <w:trPr>
          <w:trHeight w:val="20"/>
        </w:trPr>
        <w:tc>
          <w:tcPr>
            <w:tcW w:w="1730" w:type="pct"/>
          </w:tcPr>
          <w:p w14:paraId="6E9E484F" w14:textId="77777777" w:rsidR="00EA057C" w:rsidRPr="00EA057C" w:rsidRDefault="00EA057C" w:rsidP="00EA057C">
            <w:pPr>
              <w:keepNext/>
              <w:keepLines/>
              <w:spacing w:before="20" w:after="20"/>
              <w:rPr>
                <w:rFonts w:cs="Arial"/>
                <w:sz w:val="20"/>
                <w:szCs w:val="20"/>
              </w:rPr>
            </w:pPr>
            <w:r w:rsidRPr="00EA057C">
              <w:rPr>
                <w:rFonts w:cs="Arial"/>
                <w:sz w:val="20"/>
                <w:szCs w:val="20"/>
              </w:rPr>
              <w:t>DEER eQUEST Prototypes</w:t>
            </w:r>
          </w:p>
        </w:tc>
        <w:tc>
          <w:tcPr>
            <w:tcW w:w="3270" w:type="pct"/>
          </w:tcPr>
          <w:p w14:paraId="4948DEAF" w14:textId="1F14C706" w:rsidR="00EA057C" w:rsidRPr="00204E38" w:rsidDel="00505CEC" w:rsidRDefault="00A77D6F" w:rsidP="00EA057C">
            <w:pPr>
              <w:keepNext/>
              <w:keepLines/>
              <w:spacing w:before="20" w:after="20"/>
              <w:rPr>
                <w:rFonts w:cs="Arial"/>
                <w:sz w:val="20"/>
                <w:szCs w:val="20"/>
              </w:rPr>
            </w:pPr>
            <w:r w:rsidRPr="00204E38">
              <w:rPr>
                <w:rFonts w:cs="Arial"/>
                <w:sz w:val="20"/>
                <w:szCs w:val="20"/>
              </w:rPr>
              <w:t>No</w:t>
            </w:r>
          </w:p>
        </w:tc>
      </w:tr>
      <w:tr w:rsidR="00EA057C" w:rsidRPr="00500C4E" w14:paraId="2CFDE9D3" w14:textId="77777777" w:rsidTr="00EA057C">
        <w:trPr>
          <w:trHeight w:val="180"/>
        </w:trPr>
        <w:tc>
          <w:tcPr>
            <w:tcW w:w="1730" w:type="pct"/>
          </w:tcPr>
          <w:p w14:paraId="3B6B3E22" w14:textId="77777777" w:rsidR="00EA057C" w:rsidRPr="00EA057C" w:rsidRDefault="00EA057C" w:rsidP="00EA057C">
            <w:pPr>
              <w:keepNext/>
              <w:keepLines/>
              <w:spacing w:before="20" w:after="20"/>
              <w:rPr>
                <w:rFonts w:cs="Arial"/>
                <w:sz w:val="20"/>
                <w:szCs w:val="20"/>
              </w:rPr>
            </w:pPr>
            <w:r w:rsidRPr="00EA057C">
              <w:rPr>
                <w:rFonts w:cs="Arial"/>
                <w:sz w:val="20"/>
                <w:szCs w:val="20"/>
              </w:rPr>
              <w:t>DEER Version</w:t>
            </w:r>
          </w:p>
        </w:tc>
        <w:tc>
          <w:tcPr>
            <w:tcW w:w="3270" w:type="pct"/>
          </w:tcPr>
          <w:p w14:paraId="1C3B60D1" w14:textId="07A93F2C" w:rsidR="00EA057C" w:rsidRPr="00204E38" w:rsidRDefault="00A77D6F" w:rsidP="00EA057C">
            <w:pPr>
              <w:keepNext/>
              <w:keepLines/>
              <w:spacing w:before="20" w:after="20"/>
              <w:rPr>
                <w:rFonts w:cs="Arial"/>
                <w:sz w:val="20"/>
                <w:szCs w:val="20"/>
              </w:rPr>
            </w:pPr>
            <w:r w:rsidRPr="00204E38">
              <w:rPr>
                <w:rFonts w:cs="Arial"/>
                <w:sz w:val="20"/>
                <w:szCs w:val="20"/>
              </w:rPr>
              <w:t>DEER 2016, READI v2.3.0</w:t>
            </w:r>
          </w:p>
        </w:tc>
      </w:tr>
      <w:tr w:rsidR="00EA057C" w:rsidRPr="00500C4E" w14:paraId="3B7464D7" w14:textId="77777777" w:rsidTr="00EA057C">
        <w:trPr>
          <w:trHeight w:val="20"/>
        </w:trPr>
        <w:tc>
          <w:tcPr>
            <w:tcW w:w="1730" w:type="pct"/>
          </w:tcPr>
          <w:p w14:paraId="24000A76" w14:textId="77777777" w:rsidR="00EA057C" w:rsidRPr="00EA057C" w:rsidRDefault="00EA057C" w:rsidP="00EA057C">
            <w:pPr>
              <w:keepNext/>
              <w:keepLines/>
              <w:spacing w:before="20" w:after="20"/>
              <w:rPr>
                <w:rFonts w:cs="Arial"/>
                <w:sz w:val="20"/>
                <w:szCs w:val="20"/>
              </w:rPr>
            </w:pPr>
            <w:r w:rsidRPr="00EA057C">
              <w:rPr>
                <w:rFonts w:cs="Arial"/>
                <w:sz w:val="20"/>
                <w:szCs w:val="20"/>
              </w:rPr>
              <w:t>Reason for Deviation from DEER</w:t>
            </w:r>
          </w:p>
        </w:tc>
        <w:tc>
          <w:tcPr>
            <w:tcW w:w="3270" w:type="pct"/>
          </w:tcPr>
          <w:p w14:paraId="125AAB90" w14:textId="6B7AD578" w:rsidR="00EA057C" w:rsidRPr="00204E38" w:rsidRDefault="00D84EB0" w:rsidP="00EA057C">
            <w:pPr>
              <w:keepNext/>
              <w:keepLines/>
              <w:spacing w:before="20" w:after="20"/>
              <w:rPr>
                <w:rFonts w:cs="Arial"/>
                <w:sz w:val="20"/>
                <w:szCs w:val="20"/>
              </w:rPr>
            </w:pPr>
            <w:r w:rsidRPr="00204E38">
              <w:rPr>
                <w:rFonts w:cs="Arial"/>
                <w:sz w:val="20"/>
                <w:szCs w:val="20"/>
              </w:rPr>
              <w:t>DEER</w:t>
            </w:r>
            <w:r w:rsidR="0013493F">
              <w:rPr>
                <w:rFonts w:cs="Arial"/>
                <w:sz w:val="20"/>
                <w:szCs w:val="20"/>
              </w:rPr>
              <w:t xml:space="preserve"> </w:t>
            </w:r>
            <w:r w:rsidRPr="00204E38">
              <w:rPr>
                <w:rFonts w:cs="Arial"/>
                <w:sz w:val="20"/>
                <w:szCs w:val="20"/>
              </w:rPr>
              <w:t>does not contain these measures.</w:t>
            </w:r>
          </w:p>
        </w:tc>
      </w:tr>
      <w:tr w:rsidR="00EA057C" w:rsidRPr="00500C4E" w14:paraId="4A7EE859" w14:textId="77777777" w:rsidTr="00EA057C">
        <w:trPr>
          <w:trHeight w:val="20"/>
        </w:trPr>
        <w:tc>
          <w:tcPr>
            <w:tcW w:w="1730" w:type="pct"/>
          </w:tcPr>
          <w:p w14:paraId="7B4D686A" w14:textId="77777777" w:rsidR="00EA057C" w:rsidRPr="00EA057C" w:rsidRDefault="00EA057C" w:rsidP="00EA057C">
            <w:pPr>
              <w:keepNext/>
              <w:keepLines/>
              <w:spacing w:before="20" w:after="20"/>
              <w:rPr>
                <w:rFonts w:cs="Arial"/>
                <w:sz w:val="20"/>
                <w:szCs w:val="20"/>
              </w:rPr>
            </w:pPr>
            <w:r w:rsidRPr="00EA057C">
              <w:rPr>
                <w:rFonts w:cs="Arial"/>
                <w:sz w:val="20"/>
                <w:szCs w:val="20"/>
              </w:rPr>
              <w:t>DEER Measure IDs Used</w:t>
            </w:r>
          </w:p>
        </w:tc>
        <w:tc>
          <w:tcPr>
            <w:tcW w:w="3270" w:type="pct"/>
          </w:tcPr>
          <w:p w14:paraId="63ABA251" w14:textId="03E5913C" w:rsidR="00EA057C" w:rsidRPr="00204E38" w:rsidRDefault="00D84EB0" w:rsidP="00EA057C">
            <w:pPr>
              <w:keepNext/>
              <w:keepLines/>
              <w:spacing w:before="20" w:after="20"/>
              <w:rPr>
                <w:rFonts w:cs="Arial"/>
                <w:sz w:val="20"/>
                <w:szCs w:val="20"/>
              </w:rPr>
            </w:pPr>
            <w:r w:rsidRPr="00204E38">
              <w:rPr>
                <w:rFonts w:cs="Arial"/>
                <w:sz w:val="20"/>
                <w:szCs w:val="20"/>
              </w:rPr>
              <w:t>N/A</w:t>
            </w:r>
          </w:p>
        </w:tc>
      </w:tr>
      <w:tr w:rsidR="00EA057C" w:rsidRPr="00500C4E" w14:paraId="5A83EC74" w14:textId="77777777" w:rsidTr="00EA057C">
        <w:trPr>
          <w:trHeight w:val="20"/>
        </w:trPr>
        <w:tc>
          <w:tcPr>
            <w:tcW w:w="1730" w:type="pct"/>
          </w:tcPr>
          <w:p w14:paraId="2C82A9E0" w14:textId="121308D7" w:rsidR="00EA057C" w:rsidRPr="00EA057C" w:rsidRDefault="00EA057C" w:rsidP="00EA057C">
            <w:pPr>
              <w:keepNext/>
              <w:keepLines/>
              <w:spacing w:before="20" w:after="20"/>
              <w:rPr>
                <w:rFonts w:cs="Arial"/>
                <w:sz w:val="20"/>
                <w:szCs w:val="20"/>
              </w:rPr>
            </w:pPr>
            <w:r>
              <w:rPr>
                <w:rFonts w:cs="Arial"/>
                <w:sz w:val="20"/>
                <w:szCs w:val="20"/>
              </w:rPr>
              <w:t>NTG</w:t>
            </w:r>
          </w:p>
        </w:tc>
        <w:tc>
          <w:tcPr>
            <w:tcW w:w="3270" w:type="pct"/>
          </w:tcPr>
          <w:p w14:paraId="2BBBB10C" w14:textId="143F0D11" w:rsidR="00EA057C" w:rsidRPr="00204E38" w:rsidRDefault="00426096" w:rsidP="0013493F">
            <w:pPr>
              <w:keepNext/>
              <w:keepLines/>
              <w:spacing w:before="20" w:after="20"/>
              <w:rPr>
                <w:rFonts w:cs="Arial"/>
                <w:sz w:val="20"/>
                <w:szCs w:val="20"/>
              </w:rPr>
            </w:pPr>
            <w:r>
              <w:rPr>
                <w:rFonts w:cs="Arial"/>
                <w:sz w:val="20"/>
                <w:szCs w:val="20"/>
              </w:rPr>
              <w:t xml:space="preserve">Source: DEER. </w:t>
            </w:r>
            <w:r w:rsidR="005A74DC" w:rsidRPr="00204E38">
              <w:rPr>
                <w:rFonts w:cs="Arial"/>
                <w:sz w:val="20"/>
                <w:szCs w:val="20"/>
              </w:rPr>
              <w:t xml:space="preserve">The NTG of </w:t>
            </w:r>
            <w:r w:rsidR="0013493F">
              <w:rPr>
                <w:rFonts w:cs="Arial"/>
                <w:sz w:val="20"/>
                <w:szCs w:val="20"/>
              </w:rPr>
              <w:t>0.60</w:t>
            </w:r>
            <w:r w:rsidR="005A74DC" w:rsidRPr="00204E38">
              <w:rPr>
                <w:rFonts w:cs="Arial"/>
                <w:sz w:val="20"/>
                <w:szCs w:val="20"/>
              </w:rPr>
              <w:t xml:space="preserve"> is associated with NTG ID: </w:t>
            </w:r>
            <w:r w:rsidR="0013493F" w:rsidRPr="0013493F">
              <w:rPr>
                <w:rFonts w:cs="Arial"/>
                <w:i/>
                <w:sz w:val="20"/>
                <w:szCs w:val="20"/>
              </w:rPr>
              <w:t>Com-Default&gt;2yrs</w:t>
            </w:r>
            <w:r>
              <w:rPr>
                <w:rFonts w:cs="Arial"/>
                <w:i/>
                <w:sz w:val="20"/>
                <w:szCs w:val="20"/>
              </w:rPr>
              <w:t>, Ind-Default&gt;2yrs, Ag-Default&gt;2yrs</w:t>
            </w:r>
            <w:r w:rsidR="0013493F">
              <w:rPr>
                <w:rFonts w:cs="Arial"/>
                <w:i/>
                <w:sz w:val="20"/>
                <w:szCs w:val="20"/>
              </w:rPr>
              <w:t xml:space="preserve"> </w:t>
            </w:r>
            <w:r w:rsidR="0013493F" w:rsidRPr="0013493F">
              <w:rPr>
                <w:rFonts w:cs="Arial"/>
                <w:sz w:val="20"/>
                <w:szCs w:val="20"/>
              </w:rPr>
              <w:t>and 0.55 with</w:t>
            </w:r>
            <w:r w:rsidR="0013493F">
              <w:rPr>
                <w:rFonts w:cs="Arial"/>
                <w:i/>
                <w:sz w:val="20"/>
                <w:szCs w:val="20"/>
              </w:rPr>
              <w:t xml:space="preserve"> </w:t>
            </w:r>
            <w:r w:rsidR="0013493F" w:rsidRPr="0013493F">
              <w:rPr>
                <w:rFonts w:cs="Arial"/>
                <w:i/>
                <w:sz w:val="20"/>
                <w:szCs w:val="20"/>
              </w:rPr>
              <w:t>Res-Default&gt;2</w:t>
            </w:r>
          </w:p>
        </w:tc>
      </w:tr>
      <w:tr w:rsidR="00EA057C" w:rsidRPr="00500C4E" w14:paraId="131D1F9D" w14:textId="77777777" w:rsidTr="00EA057C">
        <w:trPr>
          <w:trHeight w:val="20"/>
        </w:trPr>
        <w:tc>
          <w:tcPr>
            <w:tcW w:w="1730" w:type="pct"/>
          </w:tcPr>
          <w:p w14:paraId="45FFA983" w14:textId="5F527A83" w:rsidR="00EA057C" w:rsidRDefault="00EA057C" w:rsidP="00EA057C">
            <w:pPr>
              <w:keepNext/>
              <w:keepLines/>
              <w:spacing w:before="20" w:after="20"/>
              <w:rPr>
                <w:rFonts w:cs="Arial"/>
                <w:sz w:val="20"/>
                <w:szCs w:val="20"/>
              </w:rPr>
            </w:pPr>
            <w:r>
              <w:rPr>
                <w:rFonts w:cs="Arial"/>
                <w:sz w:val="20"/>
                <w:szCs w:val="20"/>
              </w:rPr>
              <w:t>GSIA</w:t>
            </w:r>
          </w:p>
        </w:tc>
        <w:tc>
          <w:tcPr>
            <w:tcW w:w="3270" w:type="pct"/>
          </w:tcPr>
          <w:p w14:paraId="7C16D603" w14:textId="5B5A0B5A" w:rsidR="00EA057C" w:rsidRPr="00204E38" w:rsidRDefault="00426096" w:rsidP="005A74DC">
            <w:pPr>
              <w:keepNext/>
              <w:keepLines/>
              <w:spacing w:before="20" w:after="20"/>
              <w:rPr>
                <w:rFonts w:cs="Arial"/>
                <w:sz w:val="20"/>
                <w:szCs w:val="20"/>
              </w:rPr>
            </w:pPr>
            <w:r>
              <w:rPr>
                <w:rFonts w:cs="Arial"/>
                <w:sz w:val="20"/>
                <w:szCs w:val="20"/>
              </w:rPr>
              <w:t xml:space="preserve">Source: DEER. </w:t>
            </w:r>
            <w:r w:rsidR="005A74DC" w:rsidRPr="00204E38">
              <w:rPr>
                <w:rFonts w:cs="Arial"/>
                <w:sz w:val="20"/>
                <w:szCs w:val="20"/>
              </w:rPr>
              <w:t xml:space="preserve">GSIA of </w:t>
            </w:r>
            <w:r w:rsidR="0013493F">
              <w:rPr>
                <w:rFonts w:cs="Arial"/>
                <w:sz w:val="20"/>
                <w:szCs w:val="20"/>
              </w:rPr>
              <w:t>1.0</w:t>
            </w:r>
            <w:r w:rsidR="005A74DC" w:rsidRPr="00204E38">
              <w:rPr>
                <w:rFonts w:cs="Arial"/>
                <w:sz w:val="20"/>
                <w:szCs w:val="20"/>
              </w:rPr>
              <w:t xml:space="preserve"> is associated with GSIA ID: </w:t>
            </w:r>
            <w:r w:rsidR="0013493F">
              <w:rPr>
                <w:rFonts w:cs="Arial"/>
                <w:sz w:val="20"/>
                <w:szCs w:val="20"/>
              </w:rPr>
              <w:t>D</w:t>
            </w:r>
            <w:r w:rsidR="0013493F">
              <w:rPr>
                <w:rFonts w:cs="Arial"/>
                <w:i/>
                <w:sz w:val="20"/>
                <w:szCs w:val="20"/>
              </w:rPr>
              <w:t>ef-GSIA</w:t>
            </w:r>
          </w:p>
        </w:tc>
      </w:tr>
      <w:tr w:rsidR="00EA057C" w:rsidRPr="00500C4E" w14:paraId="4D0F7E1B" w14:textId="77777777" w:rsidTr="00EA057C">
        <w:trPr>
          <w:trHeight w:val="20"/>
        </w:trPr>
        <w:tc>
          <w:tcPr>
            <w:tcW w:w="1730" w:type="pct"/>
          </w:tcPr>
          <w:p w14:paraId="103BA947" w14:textId="6665B2EA" w:rsidR="00EA057C" w:rsidRDefault="00EA057C" w:rsidP="00EA057C">
            <w:pPr>
              <w:keepNext/>
              <w:keepLines/>
              <w:spacing w:before="20" w:after="20"/>
              <w:rPr>
                <w:rFonts w:cs="Arial"/>
                <w:sz w:val="20"/>
                <w:szCs w:val="20"/>
              </w:rPr>
            </w:pPr>
            <w:r>
              <w:rPr>
                <w:rFonts w:cs="Arial"/>
                <w:sz w:val="20"/>
                <w:szCs w:val="20"/>
              </w:rPr>
              <w:t>EUL/RUL</w:t>
            </w:r>
          </w:p>
        </w:tc>
        <w:tc>
          <w:tcPr>
            <w:tcW w:w="3270" w:type="pct"/>
          </w:tcPr>
          <w:p w14:paraId="5BD9C961" w14:textId="09EB6F42" w:rsidR="00EA057C" w:rsidRPr="00204E38" w:rsidRDefault="005A74DC" w:rsidP="00EA057C">
            <w:pPr>
              <w:keepNext/>
              <w:keepLines/>
              <w:spacing w:before="20" w:after="20"/>
              <w:rPr>
                <w:rFonts w:cs="Arial"/>
                <w:sz w:val="20"/>
                <w:szCs w:val="20"/>
              </w:rPr>
            </w:pPr>
            <w:r w:rsidRPr="00204E38">
              <w:rPr>
                <w:rFonts w:cs="Arial"/>
                <w:sz w:val="20"/>
                <w:szCs w:val="20"/>
              </w:rPr>
              <w:t xml:space="preserve">Source: </w:t>
            </w:r>
            <w:r w:rsidR="0013493F">
              <w:rPr>
                <w:rFonts w:cs="Arial"/>
                <w:sz w:val="20"/>
                <w:szCs w:val="20"/>
              </w:rPr>
              <w:t>DEER2014</w:t>
            </w:r>
            <w:r w:rsidRPr="00204E38">
              <w:rPr>
                <w:rFonts w:cs="Arial"/>
                <w:sz w:val="20"/>
                <w:szCs w:val="20"/>
              </w:rPr>
              <w:t xml:space="preserve">. The value of </w:t>
            </w:r>
            <w:r w:rsidR="00B33AA3">
              <w:rPr>
                <w:rFonts w:cs="Arial"/>
                <w:sz w:val="20"/>
                <w:szCs w:val="20"/>
              </w:rPr>
              <w:t>5</w:t>
            </w:r>
            <w:r w:rsidRPr="00204E38">
              <w:rPr>
                <w:rFonts w:cs="Arial"/>
                <w:sz w:val="20"/>
                <w:szCs w:val="20"/>
              </w:rPr>
              <w:t xml:space="preserve"> years is associated with EUL ID: </w:t>
            </w:r>
            <w:r w:rsidR="0013493F" w:rsidRPr="0013493F">
              <w:rPr>
                <w:rFonts w:cs="Arial"/>
                <w:i/>
                <w:sz w:val="20"/>
                <w:szCs w:val="20"/>
              </w:rPr>
              <w:t>Plug-</w:t>
            </w:r>
            <w:proofErr w:type="spellStart"/>
            <w:r w:rsidR="0013493F" w:rsidRPr="0013493F">
              <w:rPr>
                <w:rFonts w:cs="Arial"/>
                <w:i/>
                <w:sz w:val="20"/>
                <w:szCs w:val="20"/>
              </w:rPr>
              <w:t>VendCtrler</w:t>
            </w:r>
            <w:proofErr w:type="spellEnd"/>
            <w:r w:rsidRPr="00204E38">
              <w:rPr>
                <w:rFonts w:cs="Arial"/>
                <w:sz w:val="20"/>
                <w:szCs w:val="20"/>
              </w:rPr>
              <w:t>.</w:t>
            </w:r>
            <w:r w:rsidR="0095396E" w:rsidRPr="00204E38">
              <w:rPr>
                <w:rFonts w:cs="Arial"/>
                <w:sz w:val="20"/>
                <w:szCs w:val="20"/>
              </w:rPr>
              <w:t xml:space="preserve"> </w:t>
            </w:r>
          </w:p>
        </w:tc>
      </w:tr>
    </w:tbl>
    <w:p w14:paraId="3D440479" w14:textId="77777777" w:rsidR="00EA057C" w:rsidRDefault="00EA057C" w:rsidP="004142EF"/>
    <w:p w14:paraId="59542C0D" w14:textId="77777777" w:rsidR="007D230B" w:rsidRDefault="007D230B" w:rsidP="004D29B2">
      <w:pPr>
        <w:pStyle w:val="eTRMHeading3"/>
      </w:pPr>
      <w:bookmarkStart w:id="74" w:name="_Toc486490866"/>
      <w:bookmarkStart w:id="75" w:name="_Toc486580937"/>
      <w:bookmarkStart w:id="76" w:name="_Toc529355986"/>
      <w:r w:rsidRPr="004B06E3">
        <w:lastRenderedPageBreak/>
        <w:t>Revision History</w:t>
      </w:r>
      <w:bookmarkEnd w:id="74"/>
      <w:bookmarkEnd w:id="75"/>
      <w:bookmarkEnd w:id="76"/>
    </w:p>
    <w:p w14:paraId="039D8469" w14:textId="0D152393" w:rsidR="00317B4F" w:rsidRDefault="00317B4F" w:rsidP="00317B4F">
      <w:pPr>
        <w:pStyle w:val="Caption"/>
      </w:pPr>
      <w:bookmarkStart w:id="77" w:name="_Hlk515959178"/>
      <w:r>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0"/>
        <w:gridCol w:w="1350"/>
        <w:gridCol w:w="1575"/>
        <w:gridCol w:w="5485"/>
      </w:tblGrid>
      <w:tr w:rsidR="00317B4F" w:rsidRPr="00500C4E" w14:paraId="3FB9E47F" w14:textId="77777777" w:rsidTr="00B9630B">
        <w:trPr>
          <w:trHeight w:val="20"/>
        </w:trPr>
        <w:tc>
          <w:tcPr>
            <w:tcW w:w="503" w:type="pct"/>
            <w:shd w:val="clear" w:color="auto" w:fill="F2F2F2" w:themeFill="background1" w:themeFillShade="F2"/>
            <w:vAlign w:val="bottom"/>
          </w:tcPr>
          <w:p w14:paraId="4CED6831" w14:textId="77777777" w:rsidR="00317B4F" w:rsidRPr="00EA057C" w:rsidRDefault="00317B4F" w:rsidP="00B9630B">
            <w:pPr>
              <w:keepNext/>
              <w:keepLines/>
              <w:tabs>
                <w:tab w:val="right" w:pos="2957"/>
              </w:tabs>
              <w:spacing w:before="20" w:after="20"/>
              <w:rPr>
                <w:rFonts w:cs="Arial"/>
                <w:b/>
                <w:sz w:val="20"/>
                <w:szCs w:val="20"/>
              </w:rPr>
            </w:pPr>
            <w:r>
              <w:rPr>
                <w:rFonts w:cs="Arial"/>
                <w:b/>
                <w:sz w:val="20"/>
                <w:szCs w:val="20"/>
              </w:rPr>
              <w:t>Revision Number</w:t>
            </w:r>
          </w:p>
        </w:tc>
        <w:tc>
          <w:tcPr>
            <w:tcW w:w="722" w:type="pct"/>
            <w:shd w:val="clear" w:color="auto" w:fill="F2F2F2" w:themeFill="background1" w:themeFillShade="F2"/>
            <w:vAlign w:val="bottom"/>
          </w:tcPr>
          <w:p w14:paraId="4AC2F48B" w14:textId="77777777" w:rsidR="00317B4F" w:rsidRPr="00EA057C" w:rsidRDefault="00317B4F" w:rsidP="00B9630B">
            <w:pPr>
              <w:keepNext/>
              <w:keepLines/>
              <w:spacing w:before="20" w:after="20"/>
              <w:rPr>
                <w:rFonts w:cs="Arial"/>
                <w:b/>
                <w:sz w:val="20"/>
                <w:szCs w:val="20"/>
              </w:rPr>
            </w:pPr>
            <w:r>
              <w:rPr>
                <w:rFonts w:cs="Arial"/>
                <w:b/>
                <w:sz w:val="20"/>
                <w:szCs w:val="20"/>
              </w:rPr>
              <w:t>Date</w:t>
            </w:r>
          </w:p>
        </w:tc>
        <w:tc>
          <w:tcPr>
            <w:tcW w:w="842" w:type="pct"/>
            <w:shd w:val="clear" w:color="auto" w:fill="F2F2F2" w:themeFill="background1" w:themeFillShade="F2"/>
            <w:vAlign w:val="bottom"/>
          </w:tcPr>
          <w:p w14:paraId="342C630C" w14:textId="77777777" w:rsidR="00317B4F" w:rsidRDefault="00317B4F" w:rsidP="00B9630B">
            <w:pPr>
              <w:keepNext/>
              <w:keepLines/>
              <w:spacing w:before="20" w:after="20"/>
              <w:rPr>
                <w:rFonts w:cs="Arial"/>
                <w:b/>
                <w:sz w:val="20"/>
                <w:szCs w:val="20"/>
              </w:rPr>
            </w:pPr>
            <w:r>
              <w:rPr>
                <w:rFonts w:cs="Arial"/>
                <w:b/>
                <w:sz w:val="20"/>
                <w:szCs w:val="20"/>
              </w:rPr>
              <w:t>Primary Author, Title, Organization</w:t>
            </w:r>
          </w:p>
        </w:tc>
        <w:tc>
          <w:tcPr>
            <w:tcW w:w="2933" w:type="pct"/>
            <w:shd w:val="clear" w:color="auto" w:fill="F2F2F2" w:themeFill="background1" w:themeFillShade="F2"/>
            <w:vAlign w:val="bottom"/>
          </w:tcPr>
          <w:p w14:paraId="25E08214" w14:textId="77777777" w:rsidR="00317B4F" w:rsidRDefault="00317B4F" w:rsidP="00B9630B">
            <w:pPr>
              <w:keepNext/>
              <w:keepLines/>
              <w:spacing w:before="20" w:after="20"/>
              <w:rPr>
                <w:rFonts w:cs="Arial"/>
                <w:b/>
                <w:sz w:val="20"/>
                <w:szCs w:val="20"/>
              </w:rPr>
            </w:pPr>
            <w:r>
              <w:rPr>
                <w:rFonts w:cs="Arial"/>
                <w:b/>
                <w:sz w:val="20"/>
                <w:szCs w:val="20"/>
              </w:rPr>
              <w:t>Revision Summary and Rationale for Revision</w:t>
            </w:r>
          </w:p>
          <w:p w14:paraId="30EAEE04" w14:textId="77777777" w:rsidR="00317B4F" w:rsidRDefault="00317B4F" w:rsidP="00B9630B">
            <w:pPr>
              <w:keepNext/>
              <w:keepLines/>
              <w:spacing w:before="20" w:after="20"/>
              <w:rPr>
                <w:rFonts w:cs="Arial"/>
                <w:b/>
                <w:sz w:val="20"/>
                <w:szCs w:val="20"/>
              </w:rPr>
            </w:pPr>
            <w:r>
              <w:rPr>
                <w:rFonts w:cs="Arial"/>
                <w:b/>
                <w:sz w:val="20"/>
                <w:szCs w:val="20"/>
              </w:rPr>
              <w:t>Effective Date and Approved By</w:t>
            </w:r>
          </w:p>
        </w:tc>
      </w:tr>
      <w:tr w:rsidR="00317B4F" w:rsidRPr="00CA1CB3" w14:paraId="4D07EB5B" w14:textId="77777777" w:rsidTr="00B9630B">
        <w:trPr>
          <w:trHeight w:val="20"/>
        </w:trPr>
        <w:tc>
          <w:tcPr>
            <w:tcW w:w="503" w:type="pct"/>
          </w:tcPr>
          <w:p w14:paraId="597FBC32" w14:textId="77777777" w:rsidR="00317B4F" w:rsidRPr="003C66BA" w:rsidRDefault="00317B4F" w:rsidP="00B9630B">
            <w:pPr>
              <w:keepNext/>
              <w:keepLines/>
              <w:spacing w:before="20" w:after="20"/>
              <w:rPr>
                <w:rFonts w:cs="Arial"/>
                <w:sz w:val="20"/>
                <w:szCs w:val="20"/>
              </w:rPr>
            </w:pPr>
            <w:r w:rsidRPr="003C66BA">
              <w:rPr>
                <w:rFonts w:cs="Arial"/>
                <w:sz w:val="20"/>
                <w:szCs w:val="20"/>
              </w:rPr>
              <w:t>01</w:t>
            </w:r>
          </w:p>
        </w:tc>
        <w:tc>
          <w:tcPr>
            <w:tcW w:w="722" w:type="pct"/>
          </w:tcPr>
          <w:p w14:paraId="14639EC3" w14:textId="77777777" w:rsidR="00317B4F" w:rsidRPr="003C66BA" w:rsidRDefault="00317B4F" w:rsidP="00B9630B">
            <w:pPr>
              <w:keepNext/>
              <w:keepLines/>
              <w:spacing w:before="20" w:after="20"/>
              <w:rPr>
                <w:rFonts w:cs="Arial"/>
                <w:sz w:val="20"/>
                <w:szCs w:val="20"/>
              </w:rPr>
            </w:pPr>
            <w:r w:rsidRPr="003C66BA">
              <w:rPr>
                <w:rFonts w:cs="Arial"/>
                <w:sz w:val="20"/>
                <w:szCs w:val="20"/>
              </w:rPr>
              <w:t>10/31/2017</w:t>
            </w:r>
          </w:p>
        </w:tc>
        <w:tc>
          <w:tcPr>
            <w:tcW w:w="842" w:type="pct"/>
          </w:tcPr>
          <w:p w14:paraId="4CCE5516" w14:textId="77777777" w:rsidR="00317B4F" w:rsidRPr="003C66BA" w:rsidRDefault="00317B4F" w:rsidP="00B9630B">
            <w:pPr>
              <w:keepNext/>
              <w:keepLines/>
              <w:spacing w:before="20" w:after="20"/>
              <w:rPr>
                <w:rFonts w:cs="Arial"/>
                <w:sz w:val="20"/>
                <w:szCs w:val="20"/>
              </w:rPr>
            </w:pPr>
            <w:r w:rsidRPr="003C66BA">
              <w:rPr>
                <w:rFonts w:cs="Arial"/>
                <w:sz w:val="20"/>
                <w:szCs w:val="20"/>
              </w:rPr>
              <w:t>Jennifer Holmes</w:t>
            </w:r>
          </w:p>
          <w:p w14:paraId="22A31A51" w14:textId="77777777" w:rsidR="00317B4F" w:rsidRPr="003C66BA" w:rsidRDefault="00317B4F" w:rsidP="00B9630B">
            <w:pPr>
              <w:keepNext/>
              <w:keepLines/>
              <w:spacing w:before="20" w:after="20"/>
              <w:rPr>
                <w:rFonts w:cs="Arial"/>
                <w:sz w:val="20"/>
                <w:szCs w:val="20"/>
              </w:rPr>
            </w:pPr>
            <w:r w:rsidRPr="003C66BA">
              <w:rPr>
                <w:rFonts w:cs="Arial"/>
                <w:sz w:val="20"/>
                <w:szCs w:val="20"/>
              </w:rPr>
              <w:t>Cal TF Staff</w:t>
            </w:r>
          </w:p>
        </w:tc>
        <w:tc>
          <w:tcPr>
            <w:tcW w:w="2933" w:type="pct"/>
          </w:tcPr>
          <w:p w14:paraId="6635496D" w14:textId="77777777" w:rsidR="00317B4F" w:rsidRDefault="00317B4F" w:rsidP="00B9630B">
            <w:pPr>
              <w:keepNext/>
              <w:keepLines/>
              <w:spacing w:before="20" w:after="20"/>
              <w:rPr>
                <w:rFonts w:cs="Arial"/>
                <w:sz w:val="20"/>
                <w:szCs w:val="20"/>
              </w:rPr>
            </w:pPr>
            <w:r>
              <w:rPr>
                <w:rFonts w:cs="Arial"/>
                <w:sz w:val="20"/>
                <w:szCs w:val="20"/>
              </w:rPr>
              <w:t>Draft of consolidated text for this statewide measure is based upon:</w:t>
            </w:r>
          </w:p>
          <w:p w14:paraId="49639D7D" w14:textId="77777777" w:rsidR="00193CA7" w:rsidRPr="00317B4F" w:rsidRDefault="00193CA7" w:rsidP="00193CA7">
            <w:pPr>
              <w:spacing w:before="0" w:after="0" w:line="240" w:lineRule="auto"/>
              <w:rPr>
                <w:rFonts w:eastAsia="Times New Roman" w:cs="Calibri Light"/>
                <w:color w:val="000000"/>
                <w:sz w:val="20"/>
                <w:szCs w:val="22"/>
              </w:rPr>
            </w:pPr>
            <w:r w:rsidRPr="00317B4F">
              <w:rPr>
                <w:rFonts w:eastAsia="Times New Roman" w:cs="Calibri Light"/>
                <w:color w:val="000000"/>
                <w:sz w:val="20"/>
                <w:szCs w:val="22"/>
              </w:rPr>
              <w:t>SCE17CS005, Revision 0 (October 21, 2016)</w:t>
            </w:r>
          </w:p>
          <w:p w14:paraId="611AD447" w14:textId="051329EE" w:rsidR="00317B4F" w:rsidRPr="00317B4F" w:rsidRDefault="00317B4F" w:rsidP="00317B4F">
            <w:pPr>
              <w:spacing w:before="0" w:after="0" w:line="240" w:lineRule="auto"/>
              <w:rPr>
                <w:rFonts w:eastAsia="Times New Roman" w:cs="Calibri Light"/>
                <w:color w:val="000000"/>
                <w:sz w:val="20"/>
                <w:szCs w:val="22"/>
              </w:rPr>
            </w:pPr>
            <w:r w:rsidRPr="00317B4F">
              <w:rPr>
                <w:rFonts w:eastAsia="Times New Roman" w:cs="Calibri Light"/>
                <w:color w:val="000000"/>
                <w:sz w:val="20"/>
                <w:szCs w:val="22"/>
              </w:rPr>
              <w:t>PGECOREF111, Revision 5 (November 10, 2015)</w:t>
            </w:r>
          </w:p>
          <w:p w14:paraId="08121215" w14:textId="2E9F4A61" w:rsidR="00317B4F" w:rsidRDefault="00317B4F" w:rsidP="00317B4F">
            <w:pPr>
              <w:spacing w:before="0" w:after="0" w:line="240" w:lineRule="auto"/>
              <w:rPr>
                <w:rFonts w:eastAsia="Times New Roman" w:cs="Calibri Light"/>
                <w:color w:val="000000"/>
                <w:sz w:val="20"/>
                <w:szCs w:val="22"/>
              </w:rPr>
            </w:pPr>
            <w:r w:rsidRPr="00317B4F">
              <w:rPr>
                <w:rFonts w:eastAsia="Times New Roman" w:cs="Calibri Light"/>
                <w:color w:val="000000"/>
                <w:sz w:val="20"/>
                <w:szCs w:val="22"/>
              </w:rPr>
              <w:t>WPSDGENRCS0001, Revision 0.1 (June 27, 2014)</w:t>
            </w:r>
          </w:p>
          <w:p w14:paraId="6EFD86B8" w14:textId="77777777" w:rsidR="00193CA7" w:rsidRPr="00317B4F" w:rsidRDefault="00193CA7" w:rsidP="00193CA7">
            <w:pPr>
              <w:spacing w:before="0" w:after="0" w:line="240" w:lineRule="auto"/>
              <w:rPr>
                <w:rFonts w:eastAsia="Times New Roman" w:cs="Calibri Light"/>
                <w:color w:val="000000"/>
                <w:sz w:val="20"/>
                <w:szCs w:val="22"/>
              </w:rPr>
            </w:pPr>
            <w:r w:rsidRPr="00317B4F">
              <w:rPr>
                <w:rFonts w:eastAsia="Times New Roman" w:cs="Calibri Light"/>
                <w:color w:val="000000"/>
                <w:sz w:val="20"/>
                <w:szCs w:val="22"/>
              </w:rPr>
              <w:t>PGE3PLTG168, Revision 1 (June 11, 2014)</w:t>
            </w:r>
          </w:p>
          <w:p w14:paraId="68EFA7DE" w14:textId="77777777" w:rsidR="00317B4F" w:rsidRPr="00CA1CB3" w:rsidRDefault="00317B4F" w:rsidP="00B9630B">
            <w:pPr>
              <w:keepNext/>
              <w:keepLines/>
              <w:spacing w:before="20" w:after="20"/>
              <w:rPr>
                <w:rFonts w:cs="Arial"/>
                <w:sz w:val="20"/>
                <w:szCs w:val="20"/>
              </w:rPr>
            </w:pPr>
            <w:r>
              <w:rPr>
                <w:rFonts w:cs="Arial"/>
                <w:sz w:val="20"/>
                <w:szCs w:val="20"/>
              </w:rPr>
              <w:t>Consensus reached among Cal TF members.</w:t>
            </w:r>
          </w:p>
        </w:tc>
      </w:tr>
      <w:tr w:rsidR="00C50011" w:rsidRPr="00CA1CB3" w14:paraId="4D63D106" w14:textId="77777777" w:rsidTr="00B9630B">
        <w:trPr>
          <w:trHeight w:val="20"/>
        </w:trPr>
        <w:tc>
          <w:tcPr>
            <w:tcW w:w="503" w:type="pct"/>
          </w:tcPr>
          <w:p w14:paraId="071CDB0E" w14:textId="7693F11E" w:rsidR="00C50011" w:rsidRPr="003C66BA" w:rsidRDefault="00A21A25" w:rsidP="00C50011">
            <w:pPr>
              <w:keepNext/>
              <w:keepLines/>
              <w:spacing w:before="20" w:after="20"/>
              <w:rPr>
                <w:rFonts w:cs="Arial"/>
                <w:sz w:val="20"/>
                <w:szCs w:val="20"/>
              </w:rPr>
            </w:pPr>
            <w:r>
              <w:rPr>
                <w:rFonts w:cs="Arial"/>
                <w:sz w:val="20"/>
                <w:szCs w:val="20"/>
              </w:rPr>
              <w:t>0</w:t>
            </w:r>
            <w:r w:rsidR="003E3D2F">
              <w:rPr>
                <w:rFonts w:cs="Arial"/>
                <w:sz w:val="20"/>
                <w:szCs w:val="20"/>
              </w:rPr>
              <w:t>1</w:t>
            </w:r>
          </w:p>
        </w:tc>
        <w:tc>
          <w:tcPr>
            <w:tcW w:w="722" w:type="pct"/>
          </w:tcPr>
          <w:p w14:paraId="790C59FC" w14:textId="0580C244" w:rsidR="00C50011" w:rsidRPr="003C66BA" w:rsidRDefault="00C50011" w:rsidP="00C50011">
            <w:pPr>
              <w:keepNext/>
              <w:keepLines/>
              <w:spacing w:before="20" w:after="20"/>
              <w:rPr>
                <w:rFonts w:cs="Arial"/>
                <w:sz w:val="20"/>
                <w:szCs w:val="20"/>
              </w:rPr>
            </w:pPr>
            <w:r>
              <w:rPr>
                <w:rFonts w:cs="Arial"/>
                <w:sz w:val="20"/>
                <w:szCs w:val="20"/>
              </w:rPr>
              <w:t>11/7/2018</w:t>
            </w:r>
          </w:p>
        </w:tc>
        <w:tc>
          <w:tcPr>
            <w:tcW w:w="842" w:type="pct"/>
          </w:tcPr>
          <w:p w14:paraId="639EE535" w14:textId="77777777" w:rsidR="00C50011" w:rsidRPr="003C66BA" w:rsidRDefault="00C50011" w:rsidP="00C50011">
            <w:pPr>
              <w:keepNext/>
              <w:keepLines/>
              <w:spacing w:before="20" w:after="20"/>
              <w:rPr>
                <w:rFonts w:cs="Arial"/>
                <w:sz w:val="20"/>
                <w:szCs w:val="20"/>
              </w:rPr>
            </w:pPr>
            <w:r w:rsidRPr="003C66BA">
              <w:rPr>
                <w:rFonts w:cs="Arial"/>
                <w:sz w:val="20"/>
                <w:szCs w:val="20"/>
              </w:rPr>
              <w:t>Jennifer Holmes</w:t>
            </w:r>
          </w:p>
          <w:p w14:paraId="69E517B3" w14:textId="61CC08D4" w:rsidR="00C50011" w:rsidRPr="003C66BA" w:rsidRDefault="00C50011" w:rsidP="00C50011">
            <w:pPr>
              <w:keepNext/>
              <w:keepLines/>
              <w:spacing w:before="20" w:after="20"/>
              <w:rPr>
                <w:rFonts w:cs="Arial"/>
                <w:sz w:val="20"/>
                <w:szCs w:val="20"/>
              </w:rPr>
            </w:pPr>
            <w:r w:rsidRPr="003C66BA">
              <w:rPr>
                <w:rFonts w:cs="Arial"/>
                <w:sz w:val="20"/>
                <w:szCs w:val="20"/>
              </w:rPr>
              <w:t>Cal TF Staff</w:t>
            </w:r>
          </w:p>
        </w:tc>
        <w:tc>
          <w:tcPr>
            <w:tcW w:w="2933" w:type="pct"/>
          </w:tcPr>
          <w:p w14:paraId="14CB114F" w14:textId="7C0B110C" w:rsidR="00C50011" w:rsidRDefault="00C50011" w:rsidP="00C50011">
            <w:pPr>
              <w:keepNext/>
              <w:keepLines/>
              <w:spacing w:before="20" w:after="20"/>
              <w:rPr>
                <w:rFonts w:cs="Arial"/>
                <w:sz w:val="20"/>
                <w:szCs w:val="20"/>
              </w:rPr>
            </w:pPr>
            <w:r>
              <w:rPr>
                <w:rFonts w:cs="Arial"/>
                <w:sz w:val="20"/>
                <w:szCs w:val="20"/>
              </w:rPr>
              <w:t>Revisions for submission of Version 01</w:t>
            </w:r>
          </w:p>
        </w:tc>
      </w:tr>
      <w:tr w:rsidR="00376F18" w:rsidRPr="00CA1CB3" w14:paraId="588B2DD2" w14:textId="77777777" w:rsidTr="00B9630B">
        <w:trPr>
          <w:trHeight w:val="20"/>
        </w:trPr>
        <w:tc>
          <w:tcPr>
            <w:tcW w:w="503" w:type="pct"/>
          </w:tcPr>
          <w:p w14:paraId="421BC440" w14:textId="2ACE399B" w:rsidR="00376F18" w:rsidRPr="003C66BA" w:rsidRDefault="00376F18" w:rsidP="00376F18">
            <w:pPr>
              <w:keepNext/>
              <w:keepLines/>
              <w:spacing w:before="20" w:after="20"/>
              <w:rPr>
                <w:rFonts w:cs="Arial"/>
                <w:sz w:val="20"/>
                <w:szCs w:val="20"/>
              </w:rPr>
            </w:pPr>
            <w:r>
              <w:rPr>
                <w:rFonts w:cs="Arial"/>
                <w:sz w:val="20"/>
                <w:szCs w:val="20"/>
              </w:rPr>
              <w:t>0</w:t>
            </w:r>
            <w:r w:rsidR="003E3D2F">
              <w:rPr>
                <w:rFonts w:cs="Arial"/>
                <w:sz w:val="20"/>
                <w:szCs w:val="20"/>
              </w:rPr>
              <w:t>2</w:t>
            </w:r>
          </w:p>
        </w:tc>
        <w:tc>
          <w:tcPr>
            <w:tcW w:w="722" w:type="pct"/>
          </w:tcPr>
          <w:p w14:paraId="3E44998D" w14:textId="6B59CD97" w:rsidR="00376F18" w:rsidRDefault="00376F18" w:rsidP="00376F18">
            <w:pPr>
              <w:keepNext/>
              <w:keepLines/>
              <w:spacing w:before="20" w:after="20"/>
              <w:rPr>
                <w:rFonts w:cs="Arial"/>
                <w:sz w:val="20"/>
                <w:szCs w:val="20"/>
              </w:rPr>
            </w:pPr>
            <w:r>
              <w:rPr>
                <w:rFonts w:cs="Arial"/>
                <w:sz w:val="20"/>
                <w:szCs w:val="20"/>
              </w:rPr>
              <w:t>10/29/2020</w:t>
            </w:r>
          </w:p>
        </w:tc>
        <w:tc>
          <w:tcPr>
            <w:tcW w:w="842" w:type="pct"/>
          </w:tcPr>
          <w:p w14:paraId="6F310453" w14:textId="77777777" w:rsidR="00376F18" w:rsidRDefault="00376F18" w:rsidP="00376F18">
            <w:pPr>
              <w:keepNext/>
              <w:keepLines/>
              <w:spacing w:before="20" w:after="20"/>
              <w:rPr>
                <w:rFonts w:cs="Arial"/>
                <w:sz w:val="20"/>
                <w:szCs w:val="20"/>
              </w:rPr>
            </w:pPr>
            <w:r>
              <w:rPr>
                <w:rFonts w:cs="Arial"/>
                <w:sz w:val="20"/>
                <w:szCs w:val="20"/>
              </w:rPr>
              <w:t>Joseph Ling</w:t>
            </w:r>
          </w:p>
          <w:p w14:paraId="68C388F1" w14:textId="467FE8B3" w:rsidR="00376F18" w:rsidRPr="003C66BA" w:rsidRDefault="00376F18" w:rsidP="00376F18">
            <w:pPr>
              <w:keepNext/>
              <w:keepLines/>
              <w:spacing w:before="20" w:after="20"/>
              <w:rPr>
                <w:rFonts w:cs="Arial"/>
                <w:sz w:val="20"/>
                <w:szCs w:val="20"/>
              </w:rPr>
            </w:pPr>
            <w:r>
              <w:rPr>
                <w:rFonts w:cs="Arial"/>
                <w:sz w:val="20"/>
                <w:szCs w:val="20"/>
              </w:rPr>
              <w:t>AESC</w:t>
            </w:r>
          </w:p>
        </w:tc>
        <w:tc>
          <w:tcPr>
            <w:tcW w:w="2933" w:type="pct"/>
          </w:tcPr>
          <w:p w14:paraId="340F014E" w14:textId="77777777" w:rsidR="00376F18" w:rsidRDefault="00376F18" w:rsidP="00376F18">
            <w:pPr>
              <w:keepNext/>
              <w:keepLines/>
              <w:spacing w:before="20" w:after="20"/>
              <w:rPr>
                <w:rFonts w:cs="Arial"/>
                <w:sz w:val="20"/>
                <w:szCs w:val="20"/>
              </w:rPr>
            </w:pPr>
            <w:r>
              <w:rPr>
                <w:rFonts w:cs="Arial"/>
                <w:sz w:val="20"/>
                <w:szCs w:val="20"/>
              </w:rPr>
              <w:t>Revisions to the following:</w:t>
            </w:r>
          </w:p>
          <w:p w14:paraId="3EB1E4DA" w14:textId="77777777" w:rsidR="00376F18" w:rsidRDefault="00376F18" w:rsidP="00376F18">
            <w:pPr>
              <w:pStyle w:val="ListParagraph"/>
              <w:keepNext/>
              <w:keepLines/>
              <w:numPr>
                <w:ilvl w:val="0"/>
                <w:numId w:val="21"/>
              </w:numPr>
              <w:spacing w:before="20" w:after="20"/>
              <w:rPr>
                <w:rFonts w:cs="Arial"/>
                <w:sz w:val="20"/>
                <w:szCs w:val="20"/>
              </w:rPr>
            </w:pPr>
            <w:r>
              <w:rPr>
                <w:rFonts w:cs="Arial"/>
                <w:sz w:val="20"/>
                <w:szCs w:val="20"/>
              </w:rPr>
              <w:t>Labor and material costs to most up-to-date amounts</w:t>
            </w:r>
          </w:p>
          <w:p w14:paraId="49A55F07" w14:textId="77777777" w:rsidR="00376F18" w:rsidRDefault="00376F18" w:rsidP="00376F18">
            <w:pPr>
              <w:pStyle w:val="ListParagraph"/>
              <w:keepNext/>
              <w:keepLines/>
              <w:numPr>
                <w:ilvl w:val="0"/>
                <w:numId w:val="21"/>
              </w:numPr>
              <w:spacing w:before="20" w:after="20"/>
              <w:rPr>
                <w:rFonts w:cs="Arial"/>
                <w:sz w:val="20"/>
                <w:szCs w:val="20"/>
              </w:rPr>
            </w:pPr>
            <w:r>
              <w:rPr>
                <w:rFonts w:cs="Arial"/>
                <w:sz w:val="20"/>
                <w:szCs w:val="20"/>
              </w:rPr>
              <w:t>Revised DEER EFLH used in calculations from 2016 to 2020</w:t>
            </w:r>
          </w:p>
          <w:p w14:paraId="306973C6" w14:textId="683B7598" w:rsidR="00376F18" w:rsidRDefault="00376F18" w:rsidP="00376F18">
            <w:pPr>
              <w:keepNext/>
              <w:keepLines/>
              <w:spacing w:before="20" w:after="20"/>
              <w:rPr>
                <w:rFonts w:cs="Arial"/>
                <w:sz w:val="20"/>
                <w:szCs w:val="20"/>
              </w:rPr>
            </w:pPr>
            <w:r>
              <w:rPr>
                <w:rFonts w:cs="Arial"/>
                <w:sz w:val="20"/>
                <w:szCs w:val="20"/>
              </w:rPr>
              <w:t>Revised ISP for lighting technology in calculations from linear fluorescent to LED per research and vendor outreach.</w:t>
            </w:r>
          </w:p>
        </w:tc>
      </w:tr>
      <w:tr w:rsidR="00F46E6C" w:rsidRPr="00CA1CB3" w14:paraId="7815DC8D" w14:textId="77777777" w:rsidTr="00B9630B">
        <w:trPr>
          <w:trHeight w:val="20"/>
        </w:trPr>
        <w:tc>
          <w:tcPr>
            <w:tcW w:w="503" w:type="pct"/>
          </w:tcPr>
          <w:p w14:paraId="0BC556CE" w14:textId="1777C65A" w:rsidR="00F46E6C" w:rsidRDefault="00F46E6C" w:rsidP="00376F18">
            <w:pPr>
              <w:keepNext/>
              <w:keepLines/>
              <w:spacing w:before="20" w:after="20"/>
              <w:rPr>
                <w:rFonts w:cs="Arial"/>
                <w:sz w:val="20"/>
                <w:szCs w:val="20"/>
              </w:rPr>
            </w:pPr>
            <w:r>
              <w:rPr>
                <w:rFonts w:cs="Arial"/>
                <w:sz w:val="20"/>
                <w:szCs w:val="20"/>
              </w:rPr>
              <w:t>02</w:t>
            </w:r>
          </w:p>
        </w:tc>
        <w:tc>
          <w:tcPr>
            <w:tcW w:w="722" w:type="pct"/>
          </w:tcPr>
          <w:p w14:paraId="2C9FD017" w14:textId="6497B30D" w:rsidR="00F46E6C" w:rsidRDefault="00F46E6C" w:rsidP="00376F18">
            <w:pPr>
              <w:keepNext/>
              <w:keepLines/>
              <w:spacing w:before="20" w:after="20"/>
              <w:rPr>
                <w:rFonts w:cs="Arial"/>
                <w:sz w:val="20"/>
                <w:szCs w:val="20"/>
              </w:rPr>
            </w:pPr>
            <w:r>
              <w:rPr>
                <w:rFonts w:cs="Arial"/>
                <w:sz w:val="20"/>
                <w:szCs w:val="20"/>
              </w:rPr>
              <w:t>3/26/2021</w:t>
            </w:r>
          </w:p>
        </w:tc>
        <w:tc>
          <w:tcPr>
            <w:tcW w:w="842" w:type="pct"/>
          </w:tcPr>
          <w:p w14:paraId="09FEBF20" w14:textId="79390E67" w:rsidR="00F46E6C" w:rsidRDefault="00F46E6C" w:rsidP="00376F18">
            <w:pPr>
              <w:keepNext/>
              <w:keepLines/>
              <w:spacing w:before="20" w:after="20"/>
              <w:rPr>
                <w:rFonts w:cs="Arial"/>
                <w:sz w:val="20"/>
                <w:szCs w:val="20"/>
              </w:rPr>
            </w:pPr>
            <w:r>
              <w:rPr>
                <w:rFonts w:cs="Arial"/>
                <w:sz w:val="20"/>
                <w:szCs w:val="20"/>
              </w:rPr>
              <w:t>Ajay Wadhera/SCE</w:t>
            </w:r>
          </w:p>
        </w:tc>
        <w:tc>
          <w:tcPr>
            <w:tcW w:w="2933" w:type="pct"/>
          </w:tcPr>
          <w:p w14:paraId="0CF6EE05" w14:textId="0F481FD9" w:rsidR="00F46E6C" w:rsidRDefault="00F46E6C" w:rsidP="00376F18">
            <w:pPr>
              <w:keepNext/>
              <w:keepLines/>
              <w:spacing w:before="20" w:after="20"/>
              <w:rPr>
                <w:rFonts w:cs="Arial"/>
                <w:sz w:val="20"/>
                <w:szCs w:val="20"/>
              </w:rPr>
            </w:pPr>
            <w:r>
              <w:rPr>
                <w:rFonts w:cs="Arial"/>
                <w:sz w:val="20"/>
                <w:szCs w:val="20"/>
              </w:rPr>
              <w:t>Revised Program Eligibility requirement to cover Energy Star criteria of Low Power Mode.</w:t>
            </w:r>
          </w:p>
        </w:tc>
      </w:tr>
      <w:tr w:rsidR="005D38AE" w:rsidRPr="00CA1CB3" w14:paraId="4FBC0463" w14:textId="77777777" w:rsidTr="00B9630B">
        <w:trPr>
          <w:trHeight w:val="20"/>
        </w:trPr>
        <w:tc>
          <w:tcPr>
            <w:tcW w:w="503" w:type="pct"/>
          </w:tcPr>
          <w:p w14:paraId="0F124E03" w14:textId="771D781D" w:rsidR="005D38AE" w:rsidRDefault="005D38AE" w:rsidP="00376F18">
            <w:pPr>
              <w:keepNext/>
              <w:keepLines/>
              <w:spacing w:before="20" w:after="20"/>
              <w:rPr>
                <w:rFonts w:cs="Arial"/>
                <w:sz w:val="20"/>
                <w:szCs w:val="20"/>
              </w:rPr>
            </w:pPr>
            <w:r>
              <w:rPr>
                <w:rFonts w:cs="Arial"/>
                <w:sz w:val="20"/>
                <w:szCs w:val="20"/>
              </w:rPr>
              <w:t>02</w:t>
            </w:r>
          </w:p>
        </w:tc>
        <w:tc>
          <w:tcPr>
            <w:tcW w:w="722" w:type="pct"/>
          </w:tcPr>
          <w:p w14:paraId="4C478EFF" w14:textId="2A83A927" w:rsidR="005D38AE" w:rsidRDefault="005D38AE" w:rsidP="00376F18">
            <w:pPr>
              <w:keepNext/>
              <w:keepLines/>
              <w:spacing w:before="20" w:after="20"/>
              <w:rPr>
                <w:rFonts w:cs="Arial"/>
                <w:sz w:val="20"/>
                <w:szCs w:val="20"/>
              </w:rPr>
            </w:pPr>
            <w:r>
              <w:rPr>
                <w:rFonts w:cs="Arial"/>
                <w:sz w:val="20"/>
                <w:szCs w:val="20"/>
              </w:rPr>
              <w:t>11/15/2021</w:t>
            </w:r>
          </w:p>
        </w:tc>
        <w:tc>
          <w:tcPr>
            <w:tcW w:w="842" w:type="pct"/>
          </w:tcPr>
          <w:p w14:paraId="7045B888" w14:textId="4A20FACD" w:rsidR="005D38AE" w:rsidRDefault="005D38AE" w:rsidP="00376F18">
            <w:pPr>
              <w:keepNext/>
              <w:keepLines/>
              <w:spacing w:before="20" w:after="20"/>
              <w:rPr>
                <w:rFonts w:cs="Arial"/>
                <w:sz w:val="20"/>
                <w:szCs w:val="20"/>
              </w:rPr>
            </w:pPr>
            <w:r>
              <w:rPr>
                <w:rFonts w:cs="Arial"/>
                <w:sz w:val="20"/>
                <w:szCs w:val="20"/>
              </w:rPr>
              <w:t>Ajay Wadhera/SCE</w:t>
            </w:r>
          </w:p>
        </w:tc>
        <w:tc>
          <w:tcPr>
            <w:tcW w:w="2933" w:type="pct"/>
          </w:tcPr>
          <w:p w14:paraId="3DC528D3" w14:textId="034456D0" w:rsidR="005D38AE" w:rsidRDefault="005D38AE" w:rsidP="00376F18">
            <w:pPr>
              <w:keepNext/>
              <w:keepLines/>
              <w:spacing w:before="20" w:after="20"/>
              <w:rPr>
                <w:rFonts w:cs="Arial"/>
                <w:sz w:val="20"/>
                <w:szCs w:val="20"/>
              </w:rPr>
            </w:pPr>
            <w:r>
              <w:rPr>
                <w:rFonts w:cs="Arial"/>
                <w:sz w:val="20"/>
                <w:szCs w:val="20"/>
              </w:rPr>
              <w:t xml:space="preserve">Corrected EAD </w:t>
            </w:r>
            <w:proofErr w:type="spellStart"/>
            <w:r>
              <w:rPr>
                <w:rFonts w:cs="Arial"/>
                <w:sz w:val="20"/>
                <w:szCs w:val="20"/>
              </w:rPr>
              <w:t>CostExAnte</w:t>
            </w:r>
            <w:proofErr w:type="spellEnd"/>
            <w:r>
              <w:rPr>
                <w:rFonts w:cs="Arial"/>
                <w:sz w:val="20"/>
                <w:szCs w:val="20"/>
              </w:rPr>
              <w:t xml:space="preserve"> Table with correct cost information.</w:t>
            </w:r>
          </w:p>
        </w:tc>
      </w:tr>
      <w:tr w:rsidR="00254D65" w:rsidRPr="00CA1CB3" w14:paraId="005317BA" w14:textId="77777777" w:rsidTr="00B9630B">
        <w:trPr>
          <w:trHeight w:val="20"/>
        </w:trPr>
        <w:tc>
          <w:tcPr>
            <w:tcW w:w="503" w:type="pct"/>
          </w:tcPr>
          <w:p w14:paraId="0070168A" w14:textId="41297048" w:rsidR="00254D65" w:rsidRDefault="00254D65" w:rsidP="00376F18">
            <w:pPr>
              <w:keepNext/>
              <w:keepLines/>
              <w:spacing w:before="20" w:after="20"/>
              <w:rPr>
                <w:rFonts w:cs="Arial"/>
                <w:sz w:val="20"/>
                <w:szCs w:val="20"/>
              </w:rPr>
            </w:pPr>
            <w:r>
              <w:rPr>
                <w:rFonts w:cs="Arial"/>
                <w:sz w:val="20"/>
                <w:szCs w:val="20"/>
              </w:rPr>
              <w:t>02</w:t>
            </w:r>
          </w:p>
        </w:tc>
        <w:tc>
          <w:tcPr>
            <w:tcW w:w="722" w:type="pct"/>
          </w:tcPr>
          <w:p w14:paraId="671D5471" w14:textId="28442DED" w:rsidR="00254D65" w:rsidRDefault="00254D65" w:rsidP="00376F18">
            <w:pPr>
              <w:keepNext/>
              <w:keepLines/>
              <w:spacing w:before="20" w:after="20"/>
              <w:rPr>
                <w:rFonts w:cs="Arial"/>
                <w:sz w:val="20"/>
                <w:szCs w:val="20"/>
              </w:rPr>
            </w:pPr>
            <w:r>
              <w:rPr>
                <w:rFonts w:cs="Arial"/>
                <w:sz w:val="20"/>
                <w:szCs w:val="20"/>
              </w:rPr>
              <w:t>12/22/2021</w:t>
            </w:r>
          </w:p>
        </w:tc>
        <w:tc>
          <w:tcPr>
            <w:tcW w:w="842" w:type="pct"/>
          </w:tcPr>
          <w:p w14:paraId="6230DD31" w14:textId="77777777" w:rsidR="00254D65" w:rsidRDefault="00254D65" w:rsidP="00376F18">
            <w:pPr>
              <w:keepNext/>
              <w:keepLines/>
              <w:spacing w:before="20" w:after="20"/>
              <w:rPr>
                <w:rFonts w:cs="Arial"/>
                <w:sz w:val="20"/>
                <w:szCs w:val="20"/>
              </w:rPr>
            </w:pPr>
            <w:r>
              <w:rPr>
                <w:rFonts w:cs="Arial"/>
                <w:sz w:val="20"/>
                <w:szCs w:val="20"/>
              </w:rPr>
              <w:t>Lake Casco</w:t>
            </w:r>
          </w:p>
          <w:p w14:paraId="6B3D689D" w14:textId="19F465B5" w:rsidR="00254D65" w:rsidRDefault="00254D65" w:rsidP="00376F18">
            <w:pPr>
              <w:keepNext/>
              <w:keepLines/>
              <w:spacing w:before="20" w:after="20"/>
              <w:rPr>
                <w:rFonts w:cs="Arial"/>
                <w:sz w:val="20"/>
                <w:szCs w:val="20"/>
              </w:rPr>
            </w:pPr>
            <w:r>
              <w:rPr>
                <w:rFonts w:cs="Arial"/>
                <w:sz w:val="20"/>
                <w:szCs w:val="20"/>
              </w:rPr>
              <w:t>TRC</w:t>
            </w:r>
          </w:p>
        </w:tc>
        <w:tc>
          <w:tcPr>
            <w:tcW w:w="2933" w:type="pct"/>
          </w:tcPr>
          <w:p w14:paraId="2DE3341D" w14:textId="4F3F1394" w:rsidR="00254D65" w:rsidRDefault="00254D65" w:rsidP="00376F18">
            <w:pPr>
              <w:keepNext/>
              <w:keepLines/>
              <w:spacing w:before="20" w:after="20"/>
              <w:rPr>
                <w:rFonts w:cs="Arial"/>
                <w:sz w:val="20"/>
                <w:szCs w:val="20"/>
              </w:rPr>
            </w:pPr>
            <w:r>
              <w:rPr>
                <w:rFonts w:cs="Arial"/>
                <w:sz w:val="20"/>
                <w:szCs w:val="20"/>
              </w:rPr>
              <w:t xml:space="preserve">Corrected EAD </w:t>
            </w:r>
            <w:proofErr w:type="spellStart"/>
            <w:r>
              <w:rPr>
                <w:rFonts w:cs="Arial"/>
                <w:sz w:val="20"/>
                <w:szCs w:val="20"/>
              </w:rPr>
              <w:t>CostExAnte</w:t>
            </w:r>
            <w:proofErr w:type="spellEnd"/>
            <w:r>
              <w:rPr>
                <w:rFonts w:cs="Arial"/>
                <w:sz w:val="20"/>
                <w:szCs w:val="20"/>
              </w:rPr>
              <w:t xml:space="preserve"> Table based on CPUC comments for labor cost. </w:t>
            </w:r>
          </w:p>
        </w:tc>
      </w:tr>
      <w:bookmarkEnd w:id="77"/>
    </w:tbl>
    <w:p w14:paraId="5DF458A4" w14:textId="77777777" w:rsidR="00317B4F" w:rsidRPr="00462BB6" w:rsidRDefault="00317B4F" w:rsidP="00112334"/>
    <w:sectPr w:rsidR="00317B4F" w:rsidRPr="00462BB6" w:rsidSect="005F505E">
      <w:headerReference w:type="default" r:id="rId17"/>
      <w:headerReference w:type="first" r:id="rId18"/>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ACB97" w14:textId="77777777" w:rsidR="00BD1673" w:rsidRDefault="00BD1673" w:rsidP="00A2690C">
      <w:r>
        <w:separator/>
      </w:r>
    </w:p>
    <w:p w14:paraId="0DD11788" w14:textId="77777777" w:rsidR="00BD1673" w:rsidRDefault="00BD1673"/>
  </w:endnote>
  <w:endnote w:type="continuationSeparator" w:id="0">
    <w:p w14:paraId="3F14A57D" w14:textId="77777777" w:rsidR="00BD1673" w:rsidRDefault="00BD1673" w:rsidP="00A2690C">
      <w:r>
        <w:continuationSeparator/>
      </w:r>
    </w:p>
    <w:p w14:paraId="161D8F9E" w14:textId="77777777" w:rsidR="00BD1673" w:rsidRDefault="00BD1673"/>
  </w:endnote>
  <w:endnote w:type="continuationNotice" w:id="1">
    <w:p w14:paraId="4141E975" w14:textId="77777777" w:rsidR="00BD1673" w:rsidRDefault="00BD167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venir Next">
    <w:altName w:val="Calibri"/>
    <w:charset w:val="00"/>
    <w:family w:val="swiss"/>
    <w:pitch w:val="variable"/>
    <w:sig w:usb0="8000002F" w:usb1="5000204A" w:usb2="00000000" w:usb3="00000000" w:csb0="0000009B" w:csb1="00000000"/>
  </w:font>
  <w:font w:name="MS PMincho">
    <w:charset w:val="80"/>
    <w:family w:val="roman"/>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Proxima Nova Regular">
    <w:altName w:val="Times New Roman"/>
    <w:panose1 w:val="00000000000000000000"/>
    <w:charset w:val="00"/>
    <w:family w:val="roman"/>
    <w:notTrueType/>
    <w:pitch w:val="default"/>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58D06" w14:textId="77777777" w:rsidR="000044A9" w:rsidRDefault="000044A9"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5" name="Picture 5"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0044A9" w:rsidRPr="00B837C1" w:rsidRDefault="000044A9"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F114B" w14:textId="77777777" w:rsidR="000044A9" w:rsidRDefault="000044A9"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6" name="Picture 6"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61757DF2" w:rsidR="000044A9" w:rsidRPr="00B837C1" w:rsidRDefault="000044A9"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11</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79099" w14:textId="77777777" w:rsidR="000044A9" w:rsidRDefault="000044A9"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1"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8" name="Picture 8"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411DECF5" w:rsidR="000044A9" w:rsidRPr="005F505E" w:rsidRDefault="000044A9"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A321D" w14:textId="77777777" w:rsidR="00BD1673" w:rsidRDefault="00BD1673" w:rsidP="00A2690C">
      <w:r>
        <w:separator/>
      </w:r>
    </w:p>
    <w:p w14:paraId="2DC16957" w14:textId="77777777" w:rsidR="00BD1673" w:rsidRDefault="00BD1673"/>
  </w:footnote>
  <w:footnote w:type="continuationSeparator" w:id="0">
    <w:p w14:paraId="550E8355" w14:textId="77777777" w:rsidR="00BD1673" w:rsidRDefault="00BD1673" w:rsidP="00A2690C">
      <w:r>
        <w:continuationSeparator/>
      </w:r>
    </w:p>
    <w:p w14:paraId="28D13CB5" w14:textId="77777777" w:rsidR="00BD1673" w:rsidRDefault="00BD1673"/>
  </w:footnote>
  <w:footnote w:type="continuationNotice" w:id="1">
    <w:p w14:paraId="2C1D047A" w14:textId="77777777" w:rsidR="00BD1673" w:rsidRDefault="00BD1673">
      <w:pPr>
        <w:spacing w:before="0" w:after="0" w:line="240" w:lineRule="auto"/>
      </w:pPr>
    </w:p>
  </w:footnote>
  <w:footnote w:id="2">
    <w:p w14:paraId="1C0406E6" w14:textId="0AAAC807" w:rsidR="000044A9" w:rsidRDefault="000044A9">
      <w:pPr>
        <w:pStyle w:val="FootnoteText"/>
      </w:pPr>
      <w:r>
        <w:rPr>
          <w:rStyle w:val="FootnoteReference"/>
        </w:rPr>
        <w:footnoteRef/>
      </w:r>
      <w:r>
        <w:t xml:space="preserve"> </w:t>
      </w:r>
      <w:r w:rsidRPr="00124A52">
        <w:t>California Energy Commission (CEC). 201</w:t>
      </w:r>
      <w:r>
        <w:t>9</w:t>
      </w:r>
      <w:r w:rsidRPr="00124A52">
        <w:t xml:space="preserve">. </w:t>
      </w:r>
      <w:r w:rsidRPr="00124A52">
        <w:rPr>
          <w:i/>
        </w:rPr>
        <w:t>201</w:t>
      </w:r>
      <w:r>
        <w:rPr>
          <w:i/>
        </w:rPr>
        <w:t>9</w:t>
      </w:r>
      <w:r w:rsidRPr="00124A52">
        <w:rPr>
          <w:i/>
        </w:rPr>
        <w:t xml:space="preserve"> Appliance Efficiency Regulations.</w:t>
      </w:r>
      <w:r w:rsidRPr="00124A52">
        <w:t xml:space="preserve"> CEC 400-201</w:t>
      </w:r>
      <w:r>
        <w:t>9</w:t>
      </w:r>
      <w:r w:rsidRPr="00124A52">
        <w:t>-021.</w:t>
      </w:r>
    </w:p>
  </w:footnote>
  <w:footnote w:id="3">
    <w:p w14:paraId="750B4AA4" w14:textId="1649951E" w:rsidR="000044A9" w:rsidRDefault="000044A9">
      <w:pPr>
        <w:pStyle w:val="FootnoteText"/>
      </w:pPr>
      <w:r w:rsidRPr="006A4DE0">
        <w:rPr>
          <w:rStyle w:val="FootnoteReference"/>
        </w:rPr>
        <w:footnoteRef/>
      </w:r>
      <w:r w:rsidRPr="006A4DE0">
        <w:t xml:space="preserve"> </w:t>
      </w:r>
      <w:r w:rsidRPr="00C14827">
        <w:rPr>
          <w:rStyle w:val="eTRMFootnoteTextChar"/>
        </w:rPr>
        <w:t xml:space="preserve">Code of Federal Regulations </w:t>
      </w:r>
      <w:r w:rsidRPr="006A4DE0">
        <w:rPr>
          <w:rStyle w:val="eTRMFootnoteTextChar"/>
        </w:rPr>
        <w:t xml:space="preserve">at </w:t>
      </w:r>
      <w:r w:rsidRPr="007406D1">
        <w:rPr>
          <w:rStyle w:val="eTRMFootnoteTextChar"/>
        </w:rPr>
        <w:t>10 CFR</w:t>
      </w:r>
      <w:r>
        <w:rPr>
          <w:rStyle w:val="eTRMFootnoteTextChar"/>
        </w:rPr>
        <w:t xml:space="preserve"> </w:t>
      </w:r>
      <w:r w:rsidRPr="006A4DE0">
        <w:rPr>
          <w:rStyle w:val="eTRMFootnoteTextChar"/>
        </w:rPr>
        <w:t>431.</w:t>
      </w:r>
      <w:r w:rsidRPr="007406D1">
        <w:rPr>
          <w:rStyle w:val="eTRMFootnoteTextChar"/>
        </w:rPr>
        <w:t xml:space="preserve"> Subpart Q §431.296</w:t>
      </w:r>
      <w:r>
        <w:rPr>
          <w:rStyle w:val="eTRMFootnoteTextChar"/>
        </w:rPr>
        <w:t>.</w:t>
      </w:r>
    </w:p>
  </w:footnote>
  <w:footnote w:id="4">
    <w:p w14:paraId="4F216EA9" w14:textId="77777777" w:rsidR="000044A9" w:rsidRPr="007406D1" w:rsidRDefault="000044A9" w:rsidP="00157BEA">
      <w:pPr>
        <w:pStyle w:val="FootnoteText"/>
      </w:pPr>
      <w:r w:rsidRPr="006A4DE0">
        <w:rPr>
          <w:rStyle w:val="FootnoteReference"/>
        </w:rPr>
        <w:footnoteRef/>
      </w:r>
      <w:r w:rsidRPr="006A4DE0">
        <w:t xml:space="preserve"> California Public Utilities Commission (CPUC). 2013. “DEER2014 - Codes and Standards Update for the 2013-14 Cycle.”</w:t>
      </w:r>
    </w:p>
  </w:footnote>
  <w:footnote w:id="5">
    <w:p w14:paraId="5E1B1EF3" w14:textId="62C392CC" w:rsidR="000044A9" w:rsidRDefault="000044A9" w:rsidP="003E3D2F">
      <w:pPr>
        <w:pStyle w:val="FootnoteText"/>
      </w:pPr>
      <w:r w:rsidRPr="006A4DE0">
        <w:rPr>
          <w:rStyle w:val="FootnoteReference"/>
        </w:rPr>
        <w:footnoteRef/>
      </w:r>
      <w:r w:rsidRPr="006A4DE0">
        <w:t xml:space="preserve"> </w:t>
      </w:r>
      <w:r>
        <w:t>Webscarping Analysis.xlsx</w:t>
      </w:r>
    </w:p>
    <w:p w14:paraId="517F3F3F" w14:textId="77777777" w:rsidR="000044A9" w:rsidRDefault="000044A9" w:rsidP="003E3D2F">
      <w:pPr>
        <w:pStyle w:val="FootnoteText"/>
      </w:pPr>
    </w:p>
  </w:footnote>
  <w:footnote w:id="6">
    <w:p w14:paraId="0A7565B1" w14:textId="2E90C700" w:rsidR="000044A9" w:rsidRDefault="000044A9" w:rsidP="003E3D2F">
      <w:pPr>
        <w:pStyle w:val="FootnoteText"/>
      </w:pPr>
      <w:r>
        <w:rPr>
          <w:rStyle w:val="FootnoteReference"/>
        </w:rPr>
        <w:footnoteRef/>
      </w:r>
      <w:r>
        <w:t xml:space="preserve"> Department of Energy. (2016). Federal Register/ Vol. 81, No. 5, 10 CFR Parts 429 and 431. Docket Number EERE-2013-BT-STD-0022. Page 1057, Section f. Lighting and Lighting Low Power Modes</w:t>
      </w:r>
    </w:p>
  </w:footnote>
  <w:footnote w:id="7">
    <w:p w14:paraId="4B7AF70E" w14:textId="78F1334D" w:rsidR="000044A9" w:rsidRDefault="000044A9">
      <w:pPr>
        <w:pStyle w:val="FootnoteText"/>
      </w:pPr>
      <w:r>
        <w:rPr>
          <w:rStyle w:val="FootnoteReference"/>
        </w:rPr>
        <w:footnoteRef/>
      </w:r>
      <w:r>
        <w:t xml:space="preserve"> California Energy Commission. (2010). </w:t>
      </w:r>
      <w:r>
        <w:rPr>
          <w:i/>
        </w:rPr>
        <w:t xml:space="preserve">2010 Appliance Efficiency Regulations. </w:t>
      </w:r>
      <w:r>
        <w:t>Section 1605.3 Table A-10.</w:t>
      </w:r>
    </w:p>
  </w:footnote>
  <w:footnote w:id="8">
    <w:p w14:paraId="569B8BCD" w14:textId="77777777" w:rsidR="000044A9" w:rsidRDefault="000044A9" w:rsidP="007E2A3B">
      <w:pPr>
        <w:pStyle w:val="FootnoteText"/>
      </w:pPr>
      <w:r w:rsidRPr="006A4DE0">
        <w:rPr>
          <w:rStyle w:val="FootnoteReference"/>
        </w:rPr>
        <w:footnoteRef/>
      </w:r>
      <w:r w:rsidRPr="006A4DE0">
        <w:t xml:space="preserve"> </w:t>
      </w:r>
      <w:r w:rsidRPr="00C14827">
        <w:t xml:space="preserve">California Energy Commission (CEC). 2010. </w:t>
      </w:r>
      <w:r w:rsidRPr="00C14827">
        <w:rPr>
          <w:i/>
        </w:rPr>
        <w:t>2010 Appliance Efficiency Regulations.</w:t>
      </w:r>
      <w:r w:rsidRPr="00C14827">
        <w:t xml:space="preserve"> CEC-400-2010-0012. Section 1605.1 Table A-4.</w:t>
      </w:r>
    </w:p>
  </w:footnote>
  <w:footnote w:id="9">
    <w:p w14:paraId="53F2B4FF" w14:textId="7C224F92" w:rsidR="009E0290" w:rsidRDefault="009E0290">
      <w:pPr>
        <w:pStyle w:val="FootnoteText"/>
      </w:pPr>
      <w:r>
        <w:rPr>
          <w:rStyle w:val="FootnoteReference"/>
        </w:rPr>
        <w:footnoteRef/>
      </w:r>
      <w:r>
        <w:t xml:space="preserve"> The source for this data/information is unknown. However, the categorization of beverage vending machines is consistent with the commercial refrigeration distribution industry.</w:t>
      </w:r>
    </w:p>
  </w:footnote>
  <w:footnote w:id="10">
    <w:p w14:paraId="77E2FB20" w14:textId="77777777" w:rsidR="000044A9" w:rsidRDefault="000044A9" w:rsidP="00D14F25">
      <w:pPr>
        <w:pStyle w:val="FootnoteText"/>
      </w:pPr>
      <w:r>
        <w:rPr>
          <w:rStyle w:val="FootnoteReference"/>
        </w:rPr>
        <w:footnoteRef/>
      </w:r>
      <w:r>
        <w:t xml:space="preserve"> Itron, Inc. 2005. </w:t>
      </w:r>
      <w:r w:rsidRPr="00AC558C">
        <w:rPr>
          <w:i/>
        </w:rPr>
        <w:t>2004-2005 Database for Energy Efficiency Resources (DEER) Update Study - Final Report</w:t>
      </w:r>
      <w:r>
        <w:t>. Prepared for the California Public Utilities Commission.</w:t>
      </w:r>
    </w:p>
  </w:footnote>
  <w:footnote w:id="11">
    <w:p w14:paraId="3E434247" w14:textId="77777777" w:rsidR="000044A9" w:rsidRDefault="000044A9" w:rsidP="006852AE">
      <w:pPr>
        <w:pStyle w:val="FootnoteText"/>
      </w:pPr>
      <w:r>
        <w:rPr>
          <w:rStyle w:val="FootnoteReference"/>
        </w:rPr>
        <w:footnoteRef/>
      </w:r>
      <w:r>
        <w:t xml:space="preserve"> </w:t>
      </w:r>
      <w:r w:rsidRPr="00C554DF">
        <w:t xml:space="preserve">California Public Utilities Commission (CPUC), Energy Division. 2013. </w:t>
      </w:r>
      <w:r w:rsidRPr="00C554DF">
        <w:rPr>
          <w:i/>
        </w:rPr>
        <w:t>Energy Efficiency Policy Manual Version 5</w:t>
      </w:r>
      <w:r w:rsidRPr="00C554DF">
        <w:t>. Page 32.</w:t>
      </w:r>
    </w:p>
  </w:footnote>
  <w:footnote w:id="12">
    <w:p w14:paraId="35527157" w14:textId="77777777" w:rsidR="000044A9" w:rsidRDefault="000044A9" w:rsidP="006852AE">
      <w:pPr>
        <w:pStyle w:val="FootnoteText"/>
      </w:pPr>
      <w:r>
        <w:rPr>
          <w:rStyle w:val="FootnoteReference"/>
        </w:rPr>
        <w:footnoteRef/>
      </w:r>
      <w:r>
        <w:t xml:space="preserve"> </w:t>
      </w:r>
      <w:r w:rsidRPr="00C554DF">
        <w:rPr>
          <w:rFonts w:eastAsia="Times New Roman" w:cs="Times New Roman"/>
          <w:color w:val="000000"/>
          <w:szCs w:val="18"/>
        </w:rPr>
        <w:t xml:space="preserve">KEMA, Inc. 2008. "Summary of EUL-RUL Analysis for the April 2008 Update to DEER." </w:t>
      </w:r>
      <w:r w:rsidRPr="00C554DF">
        <w:rPr>
          <w:rFonts w:eastAsia="Times New Roman" w:cs="Times New Roman"/>
          <w:szCs w:val="18"/>
        </w:rPr>
        <w:t>Memorandum submitted to Itron, Inc.</w:t>
      </w:r>
    </w:p>
  </w:footnote>
  <w:footnote w:id="13">
    <w:p w14:paraId="6C77A706" w14:textId="66CCC91C" w:rsidR="000044A9" w:rsidRPr="00B46795" w:rsidRDefault="000044A9" w:rsidP="00E27DCF">
      <w:pPr>
        <w:pStyle w:val="FootnoteText"/>
      </w:pPr>
      <w:r>
        <w:rPr>
          <w:rStyle w:val="FootnoteReference"/>
        </w:rPr>
        <w:footnoteRef/>
      </w:r>
      <w:r>
        <w:t xml:space="preserve"> </w:t>
      </w:r>
      <w:r w:rsidRPr="00B46795">
        <w:rPr>
          <w:rStyle w:val="eTRMFootnoteTextChar"/>
        </w:rPr>
        <w:t>Foster-Miller, Inc. 2000. Vending Machine Engineering Evaluation and Test Report. Prepared for the Bayview Technology Group. BAY-00159 (Rev. 1).</w:t>
      </w:r>
    </w:p>
  </w:footnote>
  <w:footnote w:id="14">
    <w:p w14:paraId="75C906B2" w14:textId="594C2384" w:rsidR="000044A9" w:rsidRPr="00B46795" w:rsidRDefault="000044A9" w:rsidP="00E27DCF">
      <w:pPr>
        <w:pStyle w:val="FootnoteText"/>
      </w:pPr>
      <w:r>
        <w:rPr>
          <w:rStyle w:val="FootnoteReference"/>
        </w:rPr>
        <w:footnoteRef/>
      </w:r>
      <w:r>
        <w:t xml:space="preserve"> </w:t>
      </w:r>
      <w:r w:rsidRPr="00B46795">
        <w:t>Robert Mowris &amp; Associates. 2007. EM&amp;V Report for the Small Nonresidential Energy Fitness Program #1409-04. Prepared for the California Public Utilities Commission. Study ID: RHA0002.01</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14C8F" w14:textId="159C53FF" w:rsidR="000044A9" w:rsidRPr="000220A0" w:rsidRDefault="000044A9"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F1ACE" w14:textId="0322D5BD" w:rsidR="000044A9" w:rsidRDefault="000044A9">
    <w:pPr>
      <w:pStyle w:val="Header"/>
    </w:pPr>
    <w:r>
      <w:rPr>
        <w:rFonts w:ascii="Calibri Light" w:hAnsi="Calibri Light"/>
      </w:rPr>
      <w:t xml:space="preserve">APPLIANCE &amp; PLUG LOADS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Vending and Beverage Merchandise Controller</w:t>
    </w:r>
  </w:p>
  <w:p w14:paraId="0BBA2503" w14:textId="77777777" w:rsidR="000044A9" w:rsidRDefault="000044A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AB8AA" w14:textId="77777777" w:rsidR="000044A9" w:rsidRDefault="000044A9" w:rsidP="00BD221D">
    <w:pPr>
      <w:jc w:val="center"/>
    </w:pPr>
  </w:p>
  <w:p w14:paraId="342310D5" w14:textId="5BACBCD8" w:rsidR="000044A9" w:rsidRDefault="000044A9" w:rsidP="00BD221D">
    <w:pPr>
      <w:jc w:val="center"/>
    </w:pPr>
    <w:r>
      <w:rPr>
        <w:noProof/>
      </w:rPr>
      <w:drawing>
        <wp:inline distT="0" distB="0" distL="0" distR="0" wp14:anchorId="4B2AF0A8" wp14:editId="7258E71E">
          <wp:extent cx="937307" cy="1405961"/>
          <wp:effectExtent l="0" t="0" r="2540" b="0"/>
          <wp:docPr id="7" name="Picture 7"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6D616" w14:textId="007F1DCB" w:rsidR="000044A9" w:rsidRDefault="000044A9" w:rsidP="001D7A57">
    <w:pPr>
      <w:pStyle w:val="Header"/>
    </w:pPr>
    <w:r>
      <w:rPr>
        <w:rFonts w:ascii="Calibri Light" w:hAnsi="Calibri Light"/>
      </w:rPr>
      <w:t xml:space="preserve">APPLIANCE &amp; PLUG LOADS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b/>
      </w:rPr>
      <w:t xml:space="preserve">Vending and Beverage Merchandise Controller </w:t>
    </w:r>
  </w:p>
  <w:p w14:paraId="2AC97B25" w14:textId="77777777" w:rsidR="000044A9" w:rsidRDefault="000044A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3757E" w14:textId="68B81AAC" w:rsidR="000044A9" w:rsidRDefault="000044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7809BA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0109F9"/>
    <w:multiLevelType w:val="hybridMultilevel"/>
    <w:tmpl w:val="0AE07D3C"/>
    <w:lvl w:ilvl="0" w:tplc="CA883A68">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F420DD"/>
    <w:multiLevelType w:val="hybridMultilevel"/>
    <w:tmpl w:val="A48042F6"/>
    <w:lvl w:ilvl="0" w:tplc="AD6C87E4">
      <w:start w:val="2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815294"/>
    <w:multiLevelType w:val="hybridMultilevel"/>
    <w:tmpl w:val="6A244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DF257E"/>
    <w:multiLevelType w:val="hybridMultilevel"/>
    <w:tmpl w:val="2BE08B7E"/>
    <w:lvl w:ilvl="0" w:tplc="0409000F">
      <w:start w:val="1"/>
      <w:numFmt w:val="decimal"/>
      <w:lvlText w:val="%1."/>
      <w:lvlJc w:val="left"/>
      <w:pPr>
        <w:ind w:left="720" w:hanging="360"/>
      </w:pPr>
      <w:rPr>
        <w:rFonts w:hint="default"/>
        <w:color w:val="404040" w:themeColor="accent3" w:themeShade="80"/>
        <w:sz w:val="20"/>
      </w:rPr>
    </w:lvl>
    <w:lvl w:ilvl="1" w:tplc="797E59F6">
      <w:start w:val="1"/>
      <w:numFmt w:val="bulle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DA2321"/>
    <w:multiLevelType w:val="hybridMultilevel"/>
    <w:tmpl w:val="B3348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0650D8"/>
    <w:multiLevelType w:val="hybridMultilevel"/>
    <w:tmpl w:val="6A92F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06181F"/>
    <w:multiLevelType w:val="hybridMultilevel"/>
    <w:tmpl w:val="46D23C24"/>
    <w:lvl w:ilvl="0" w:tplc="2BD4B152">
      <w:start w:val="2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B60BEE"/>
    <w:multiLevelType w:val="multilevel"/>
    <w:tmpl w:val="3BC43FF2"/>
    <w:lvl w:ilvl="0">
      <w:start w:val="1"/>
      <w:numFmt w:val="bullet"/>
      <w:lvlText w:val=""/>
      <w:lvlJc w:val="left"/>
      <w:pPr>
        <w:ind w:left="720" w:hanging="360"/>
      </w:pPr>
      <w:rPr>
        <w:rFonts w:ascii="Symbol" w:hAnsi="Symbol" w:hint="default"/>
        <w:color w:val="404040" w:themeColor="accent3" w:themeShade="80"/>
        <w:sz w:val="20"/>
      </w:rPr>
    </w:lvl>
    <w:lvl w:ilvl="1">
      <w:start w:val="1"/>
      <w:numFmt w:val="bullet"/>
      <w:lvlText w:val="-"/>
      <w:lvlJc w:val="left"/>
      <w:pPr>
        <w:ind w:left="1440" w:hanging="360"/>
      </w:pPr>
      <w:rPr>
        <w:rFonts w:ascii="Courier New" w:hAnsi="Courier New" w:hint="default"/>
        <w:color w:val="404040" w:themeColor="accent3" w:themeShade="80"/>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30C18B2"/>
    <w:multiLevelType w:val="hybridMultilevel"/>
    <w:tmpl w:val="43E629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6" w15:restartNumberingAfterBreak="0">
    <w:nsid w:val="3DD97183"/>
    <w:multiLevelType w:val="hybridMultilevel"/>
    <w:tmpl w:val="73587592"/>
    <w:lvl w:ilvl="0" w:tplc="7ACC4286">
      <w:start w:val="15"/>
      <w:numFmt w:val="bullet"/>
      <w:lvlText w:val=""/>
      <w:lvlJc w:val="left"/>
      <w:pPr>
        <w:ind w:left="720" w:hanging="360"/>
      </w:pPr>
      <w:rPr>
        <w:rFonts w:ascii="Wingdings" w:eastAsiaTheme="minorEastAsia" w:hAnsi="Wingdings"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D91E7E"/>
    <w:multiLevelType w:val="hybridMultilevel"/>
    <w:tmpl w:val="F82AE810"/>
    <w:lvl w:ilvl="0" w:tplc="6C4E50FA">
      <w:start w:val="15"/>
      <w:numFmt w:val="bullet"/>
      <w:lvlText w:val=""/>
      <w:lvlJc w:val="left"/>
      <w:pPr>
        <w:ind w:left="720" w:hanging="360"/>
      </w:pPr>
      <w:rPr>
        <w:rFonts w:ascii="Wingdings" w:eastAsiaTheme="minorEastAsia" w:hAnsi="Wingdings"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7102D6"/>
    <w:multiLevelType w:val="hybridMultilevel"/>
    <w:tmpl w:val="B7DE78D0"/>
    <w:lvl w:ilvl="0" w:tplc="1D049ED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B65E10"/>
    <w:multiLevelType w:val="hybridMultilevel"/>
    <w:tmpl w:val="CDC80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562B01A2"/>
    <w:multiLevelType w:val="hybridMultilevel"/>
    <w:tmpl w:val="ECD8A244"/>
    <w:lvl w:ilvl="0" w:tplc="2A742FE0">
      <w:start w:val="29"/>
      <w:numFmt w:val="bullet"/>
      <w:lvlText w:val=""/>
      <w:lvlJc w:val="left"/>
      <w:pPr>
        <w:ind w:left="720" w:hanging="360"/>
      </w:pPr>
      <w:rPr>
        <w:rFonts w:ascii="Wingdings" w:eastAsiaTheme="minorEastAsia" w:hAnsi="Wingdings"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19176B"/>
    <w:multiLevelType w:val="hybridMultilevel"/>
    <w:tmpl w:val="D23018CE"/>
    <w:lvl w:ilvl="0" w:tplc="0D0E2BD0">
      <w:start w:val="1"/>
      <w:numFmt w:val="bullet"/>
      <w:pStyle w:val="eTRMBulletedText"/>
      <w:lvlText w:val=""/>
      <w:lvlJc w:val="left"/>
      <w:pPr>
        <w:ind w:left="720" w:hanging="360"/>
      </w:pPr>
      <w:rPr>
        <w:rFonts w:ascii="Symbol" w:hAnsi="Symbol" w:hint="default"/>
        <w:color w:val="404040" w:themeColor="accent3" w:themeShade="80"/>
        <w:sz w:val="20"/>
      </w:rPr>
    </w:lvl>
    <w:lvl w:ilvl="1" w:tplc="797E59F6">
      <w:start w:val="1"/>
      <w:numFmt w:val="bulle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24" w15:restartNumberingAfterBreak="0">
    <w:nsid w:val="61C62D65"/>
    <w:multiLevelType w:val="hybridMultilevel"/>
    <w:tmpl w:val="2C10DAE2"/>
    <w:lvl w:ilvl="0" w:tplc="0178CAC2">
      <w:start w:val="29"/>
      <w:numFmt w:val="bullet"/>
      <w:lvlText w:val=""/>
      <w:lvlJc w:val="left"/>
      <w:pPr>
        <w:ind w:left="720" w:hanging="360"/>
      </w:pPr>
      <w:rPr>
        <w:rFonts w:ascii="Wingdings" w:eastAsiaTheme="minorEastAsia" w:hAnsi="Wingdings"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A24462D"/>
    <w:multiLevelType w:val="hybridMultilevel"/>
    <w:tmpl w:val="40567302"/>
    <w:lvl w:ilvl="0" w:tplc="0409000B">
      <w:start w:val="29"/>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B855C9"/>
    <w:multiLevelType w:val="hybridMultilevel"/>
    <w:tmpl w:val="37B8EBF2"/>
    <w:lvl w:ilvl="0" w:tplc="D50EFFBA">
      <w:start w:val="15"/>
      <w:numFmt w:val="bullet"/>
      <w:lvlText w:val=""/>
      <w:lvlJc w:val="left"/>
      <w:pPr>
        <w:ind w:left="720" w:hanging="360"/>
      </w:pPr>
      <w:rPr>
        <w:rFonts w:ascii="Wingdings" w:eastAsiaTheme="minorEastAsia" w:hAnsi="Wingdings"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FC07B80"/>
    <w:multiLevelType w:val="hybridMultilevel"/>
    <w:tmpl w:val="6CA69440"/>
    <w:lvl w:ilvl="0" w:tplc="716484F2">
      <w:start w:val="1"/>
      <w:numFmt w:val="bulle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29"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num w:numId="1">
    <w:abstractNumId w:val="15"/>
  </w:num>
  <w:num w:numId="2">
    <w:abstractNumId w:val="28"/>
  </w:num>
  <w:num w:numId="3">
    <w:abstractNumId w:val="30"/>
  </w:num>
  <w:num w:numId="4">
    <w:abstractNumId w:val="30"/>
  </w:num>
  <w:num w:numId="5">
    <w:abstractNumId w:val="23"/>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1"/>
  </w:num>
  <w:num w:numId="7">
    <w:abstractNumId w:val="8"/>
  </w:num>
  <w:num w:numId="8">
    <w:abstractNumId w:val="27"/>
  </w:num>
  <w:num w:numId="9">
    <w:abstractNumId w:val="0"/>
  </w:num>
  <w:num w:numId="10">
    <w:abstractNumId w:val="29"/>
  </w:num>
  <w:num w:numId="11">
    <w:abstractNumId w:val="10"/>
  </w:num>
  <w:num w:numId="12">
    <w:abstractNumId w:val="13"/>
  </w:num>
  <w:num w:numId="13">
    <w:abstractNumId w:val="12"/>
  </w:num>
  <w:num w:numId="14">
    <w:abstractNumId w:val="19"/>
  </w:num>
  <w:num w:numId="15">
    <w:abstractNumId w:val="6"/>
  </w:num>
  <w:num w:numId="16">
    <w:abstractNumId w:val="4"/>
  </w:num>
  <w:num w:numId="17">
    <w:abstractNumId w:val="5"/>
  </w:num>
  <w:num w:numId="18">
    <w:abstractNumId w:val="25"/>
  </w:num>
  <w:num w:numId="19">
    <w:abstractNumId w:val="11"/>
  </w:num>
  <w:num w:numId="20">
    <w:abstractNumId w:val="22"/>
  </w:num>
  <w:num w:numId="21">
    <w:abstractNumId w:val="7"/>
  </w:num>
  <w:num w:numId="22">
    <w:abstractNumId w:val="21"/>
  </w:num>
  <w:num w:numId="23">
    <w:abstractNumId w:val="9"/>
  </w:num>
  <w:num w:numId="24">
    <w:abstractNumId w:val="24"/>
  </w:num>
  <w:num w:numId="25">
    <w:abstractNumId w:val="17"/>
  </w:num>
  <w:num w:numId="26">
    <w:abstractNumId w:val="18"/>
  </w:num>
  <w:num w:numId="27">
    <w:abstractNumId w:val="16"/>
  </w:num>
  <w:num w:numId="28">
    <w:abstractNumId w:val="26"/>
  </w:num>
  <w:num w:numId="29">
    <w:abstractNumId w:val="3"/>
  </w:num>
  <w:num w:numId="30">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08"/>
    <w:rsid w:val="000044A9"/>
    <w:rsid w:val="00005B06"/>
    <w:rsid w:val="000063B0"/>
    <w:rsid w:val="00010711"/>
    <w:rsid w:val="000110D9"/>
    <w:rsid w:val="000111AF"/>
    <w:rsid w:val="00016928"/>
    <w:rsid w:val="000202D0"/>
    <w:rsid w:val="000220A0"/>
    <w:rsid w:val="00022644"/>
    <w:rsid w:val="0002389A"/>
    <w:rsid w:val="00025C9A"/>
    <w:rsid w:val="00026D58"/>
    <w:rsid w:val="000302DF"/>
    <w:rsid w:val="00031184"/>
    <w:rsid w:val="000334E5"/>
    <w:rsid w:val="00037A06"/>
    <w:rsid w:val="00046BB0"/>
    <w:rsid w:val="00051DBB"/>
    <w:rsid w:val="00052C95"/>
    <w:rsid w:val="000530E4"/>
    <w:rsid w:val="0005587A"/>
    <w:rsid w:val="00061D34"/>
    <w:rsid w:val="000621A8"/>
    <w:rsid w:val="00064D1B"/>
    <w:rsid w:val="00065C62"/>
    <w:rsid w:val="00065E54"/>
    <w:rsid w:val="000672E5"/>
    <w:rsid w:val="00074E3E"/>
    <w:rsid w:val="000767E9"/>
    <w:rsid w:val="00077A60"/>
    <w:rsid w:val="0008108C"/>
    <w:rsid w:val="000841AA"/>
    <w:rsid w:val="00087FD4"/>
    <w:rsid w:val="00090BBF"/>
    <w:rsid w:val="00090C68"/>
    <w:rsid w:val="000910B7"/>
    <w:rsid w:val="00091581"/>
    <w:rsid w:val="00092300"/>
    <w:rsid w:val="00094517"/>
    <w:rsid w:val="00096485"/>
    <w:rsid w:val="000974EE"/>
    <w:rsid w:val="000978C8"/>
    <w:rsid w:val="000A083E"/>
    <w:rsid w:val="000A1B6C"/>
    <w:rsid w:val="000A270E"/>
    <w:rsid w:val="000A4D3A"/>
    <w:rsid w:val="000A62EF"/>
    <w:rsid w:val="000A66B7"/>
    <w:rsid w:val="000A7058"/>
    <w:rsid w:val="000A7209"/>
    <w:rsid w:val="000B0F08"/>
    <w:rsid w:val="000B139B"/>
    <w:rsid w:val="000B6004"/>
    <w:rsid w:val="000C18CF"/>
    <w:rsid w:val="000C36B4"/>
    <w:rsid w:val="000C72C1"/>
    <w:rsid w:val="000F1833"/>
    <w:rsid w:val="000F1E6B"/>
    <w:rsid w:val="00103399"/>
    <w:rsid w:val="00104933"/>
    <w:rsid w:val="00111A53"/>
    <w:rsid w:val="00112334"/>
    <w:rsid w:val="00113CD3"/>
    <w:rsid w:val="0011498C"/>
    <w:rsid w:val="00120592"/>
    <w:rsid w:val="001217DF"/>
    <w:rsid w:val="0012187D"/>
    <w:rsid w:val="0012282D"/>
    <w:rsid w:val="00124A52"/>
    <w:rsid w:val="00124BFE"/>
    <w:rsid w:val="00126809"/>
    <w:rsid w:val="00130C96"/>
    <w:rsid w:val="00131C5A"/>
    <w:rsid w:val="0013493F"/>
    <w:rsid w:val="00142D3C"/>
    <w:rsid w:val="001451AB"/>
    <w:rsid w:val="00151B9F"/>
    <w:rsid w:val="00154391"/>
    <w:rsid w:val="00154EE1"/>
    <w:rsid w:val="001564FC"/>
    <w:rsid w:val="001569E9"/>
    <w:rsid w:val="00157985"/>
    <w:rsid w:val="00157BEA"/>
    <w:rsid w:val="0016009B"/>
    <w:rsid w:val="00161DF1"/>
    <w:rsid w:val="001648F6"/>
    <w:rsid w:val="00171BB8"/>
    <w:rsid w:val="00172007"/>
    <w:rsid w:val="00174707"/>
    <w:rsid w:val="00180DAD"/>
    <w:rsid w:val="00181672"/>
    <w:rsid w:val="00181E01"/>
    <w:rsid w:val="00193CA7"/>
    <w:rsid w:val="001944A0"/>
    <w:rsid w:val="00195B03"/>
    <w:rsid w:val="00196649"/>
    <w:rsid w:val="00196E1E"/>
    <w:rsid w:val="001A11C7"/>
    <w:rsid w:val="001A4BE1"/>
    <w:rsid w:val="001A7A21"/>
    <w:rsid w:val="001B1D23"/>
    <w:rsid w:val="001B2715"/>
    <w:rsid w:val="001C2ACE"/>
    <w:rsid w:val="001C6C9B"/>
    <w:rsid w:val="001C7134"/>
    <w:rsid w:val="001D65A6"/>
    <w:rsid w:val="001D7A57"/>
    <w:rsid w:val="001E19A3"/>
    <w:rsid w:val="001E3D08"/>
    <w:rsid w:val="001E4C3F"/>
    <w:rsid w:val="001E6273"/>
    <w:rsid w:val="001F00E9"/>
    <w:rsid w:val="001F735E"/>
    <w:rsid w:val="002005A8"/>
    <w:rsid w:val="002006B6"/>
    <w:rsid w:val="002014F8"/>
    <w:rsid w:val="00204E38"/>
    <w:rsid w:val="00205BAF"/>
    <w:rsid w:val="00207F85"/>
    <w:rsid w:val="0021226A"/>
    <w:rsid w:val="002200FE"/>
    <w:rsid w:val="00225142"/>
    <w:rsid w:val="00226694"/>
    <w:rsid w:val="00227BDD"/>
    <w:rsid w:val="002318A4"/>
    <w:rsid w:val="002332C6"/>
    <w:rsid w:val="002335FF"/>
    <w:rsid w:val="00233D87"/>
    <w:rsid w:val="0023666C"/>
    <w:rsid w:val="00236692"/>
    <w:rsid w:val="00236E0A"/>
    <w:rsid w:val="00237964"/>
    <w:rsid w:val="002434DE"/>
    <w:rsid w:val="002435D9"/>
    <w:rsid w:val="00245AFF"/>
    <w:rsid w:val="0024628D"/>
    <w:rsid w:val="0024690E"/>
    <w:rsid w:val="00251ABC"/>
    <w:rsid w:val="002524CF"/>
    <w:rsid w:val="00253650"/>
    <w:rsid w:val="00254D65"/>
    <w:rsid w:val="00256400"/>
    <w:rsid w:val="002652D2"/>
    <w:rsid w:val="00266539"/>
    <w:rsid w:val="00271B18"/>
    <w:rsid w:val="00272876"/>
    <w:rsid w:val="00276F9B"/>
    <w:rsid w:val="00290B8E"/>
    <w:rsid w:val="002942B0"/>
    <w:rsid w:val="0029555D"/>
    <w:rsid w:val="0029781E"/>
    <w:rsid w:val="002A2471"/>
    <w:rsid w:val="002A2A94"/>
    <w:rsid w:val="002B0821"/>
    <w:rsid w:val="002B107C"/>
    <w:rsid w:val="002B2C97"/>
    <w:rsid w:val="002B3BF4"/>
    <w:rsid w:val="002B6DED"/>
    <w:rsid w:val="002B6F2A"/>
    <w:rsid w:val="002C06FC"/>
    <w:rsid w:val="002C1117"/>
    <w:rsid w:val="002C476E"/>
    <w:rsid w:val="002C67DF"/>
    <w:rsid w:val="002D0036"/>
    <w:rsid w:val="002D17CE"/>
    <w:rsid w:val="002D1F89"/>
    <w:rsid w:val="002D29F8"/>
    <w:rsid w:val="002D40EE"/>
    <w:rsid w:val="002D4993"/>
    <w:rsid w:val="002D50E9"/>
    <w:rsid w:val="002D5CFA"/>
    <w:rsid w:val="002E52FB"/>
    <w:rsid w:val="002F036B"/>
    <w:rsid w:val="00300FCA"/>
    <w:rsid w:val="003028FA"/>
    <w:rsid w:val="00302A82"/>
    <w:rsid w:val="0030502F"/>
    <w:rsid w:val="003103FB"/>
    <w:rsid w:val="00313E1D"/>
    <w:rsid w:val="003152EA"/>
    <w:rsid w:val="00315C5E"/>
    <w:rsid w:val="00317B4F"/>
    <w:rsid w:val="00320BC8"/>
    <w:rsid w:val="003236F0"/>
    <w:rsid w:val="003247FA"/>
    <w:rsid w:val="003309DA"/>
    <w:rsid w:val="00333809"/>
    <w:rsid w:val="00335B47"/>
    <w:rsid w:val="00335D12"/>
    <w:rsid w:val="00336313"/>
    <w:rsid w:val="00337D1D"/>
    <w:rsid w:val="0035014C"/>
    <w:rsid w:val="0035060F"/>
    <w:rsid w:val="00352834"/>
    <w:rsid w:val="00352864"/>
    <w:rsid w:val="00353352"/>
    <w:rsid w:val="00354747"/>
    <w:rsid w:val="00362F9E"/>
    <w:rsid w:val="00363BE8"/>
    <w:rsid w:val="00372B3A"/>
    <w:rsid w:val="00372F61"/>
    <w:rsid w:val="00373B06"/>
    <w:rsid w:val="00376F18"/>
    <w:rsid w:val="00385069"/>
    <w:rsid w:val="00387072"/>
    <w:rsid w:val="00392097"/>
    <w:rsid w:val="00392684"/>
    <w:rsid w:val="003A2C4A"/>
    <w:rsid w:val="003B1C89"/>
    <w:rsid w:val="003B7610"/>
    <w:rsid w:val="003C205A"/>
    <w:rsid w:val="003C2CC3"/>
    <w:rsid w:val="003C7721"/>
    <w:rsid w:val="003D1FB8"/>
    <w:rsid w:val="003D4D40"/>
    <w:rsid w:val="003D7104"/>
    <w:rsid w:val="003E1933"/>
    <w:rsid w:val="003E2013"/>
    <w:rsid w:val="003E3D2F"/>
    <w:rsid w:val="003E5605"/>
    <w:rsid w:val="003E7693"/>
    <w:rsid w:val="003F21D2"/>
    <w:rsid w:val="003F269E"/>
    <w:rsid w:val="003F4964"/>
    <w:rsid w:val="003F65F3"/>
    <w:rsid w:val="00400139"/>
    <w:rsid w:val="00400EE6"/>
    <w:rsid w:val="00401C43"/>
    <w:rsid w:val="004046FF"/>
    <w:rsid w:val="00405B5B"/>
    <w:rsid w:val="00406B2B"/>
    <w:rsid w:val="00410790"/>
    <w:rsid w:val="00411EF4"/>
    <w:rsid w:val="004133BB"/>
    <w:rsid w:val="004142EF"/>
    <w:rsid w:val="00420958"/>
    <w:rsid w:val="00420EF1"/>
    <w:rsid w:val="00421920"/>
    <w:rsid w:val="004232C1"/>
    <w:rsid w:val="00423D33"/>
    <w:rsid w:val="004249A0"/>
    <w:rsid w:val="00426096"/>
    <w:rsid w:val="00430B07"/>
    <w:rsid w:val="0043155E"/>
    <w:rsid w:val="00432D01"/>
    <w:rsid w:val="00432D49"/>
    <w:rsid w:val="004339EA"/>
    <w:rsid w:val="00433E8F"/>
    <w:rsid w:val="00434145"/>
    <w:rsid w:val="00444A8F"/>
    <w:rsid w:val="0044543F"/>
    <w:rsid w:val="0044577B"/>
    <w:rsid w:val="00451588"/>
    <w:rsid w:val="004517F1"/>
    <w:rsid w:val="004556DF"/>
    <w:rsid w:val="00456795"/>
    <w:rsid w:val="00461AE3"/>
    <w:rsid w:val="00462BB6"/>
    <w:rsid w:val="00464A63"/>
    <w:rsid w:val="00466DD6"/>
    <w:rsid w:val="00470670"/>
    <w:rsid w:val="00472271"/>
    <w:rsid w:val="00472286"/>
    <w:rsid w:val="00473480"/>
    <w:rsid w:val="00475A47"/>
    <w:rsid w:val="00475D57"/>
    <w:rsid w:val="00476C7B"/>
    <w:rsid w:val="00481BD1"/>
    <w:rsid w:val="00484536"/>
    <w:rsid w:val="00486585"/>
    <w:rsid w:val="00487071"/>
    <w:rsid w:val="00491BC4"/>
    <w:rsid w:val="00492357"/>
    <w:rsid w:val="00496BD7"/>
    <w:rsid w:val="00497289"/>
    <w:rsid w:val="004A06AE"/>
    <w:rsid w:val="004A080D"/>
    <w:rsid w:val="004A510D"/>
    <w:rsid w:val="004B06E3"/>
    <w:rsid w:val="004B21BC"/>
    <w:rsid w:val="004B35DC"/>
    <w:rsid w:val="004B4DDA"/>
    <w:rsid w:val="004B5888"/>
    <w:rsid w:val="004B6780"/>
    <w:rsid w:val="004C2A36"/>
    <w:rsid w:val="004C3663"/>
    <w:rsid w:val="004C3F03"/>
    <w:rsid w:val="004C57EC"/>
    <w:rsid w:val="004C69F2"/>
    <w:rsid w:val="004C770B"/>
    <w:rsid w:val="004D0C20"/>
    <w:rsid w:val="004D1461"/>
    <w:rsid w:val="004D29B2"/>
    <w:rsid w:val="004D3A71"/>
    <w:rsid w:val="004D3CE4"/>
    <w:rsid w:val="004D7E51"/>
    <w:rsid w:val="004E04EE"/>
    <w:rsid w:val="004E1B37"/>
    <w:rsid w:val="004E2704"/>
    <w:rsid w:val="004E3F72"/>
    <w:rsid w:val="004E4D01"/>
    <w:rsid w:val="004F00D3"/>
    <w:rsid w:val="004F539F"/>
    <w:rsid w:val="004F624A"/>
    <w:rsid w:val="004F705B"/>
    <w:rsid w:val="00500964"/>
    <w:rsid w:val="00500C66"/>
    <w:rsid w:val="00501745"/>
    <w:rsid w:val="00505344"/>
    <w:rsid w:val="00505B94"/>
    <w:rsid w:val="0050633F"/>
    <w:rsid w:val="0050764D"/>
    <w:rsid w:val="005130EC"/>
    <w:rsid w:val="005146E6"/>
    <w:rsid w:val="00516A20"/>
    <w:rsid w:val="00524A3C"/>
    <w:rsid w:val="00525B1C"/>
    <w:rsid w:val="00535A42"/>
    <w:rsid w:val="0053748E"/>
    <w:rsid w:val="005449C6"/>
    <w:rsid w:val="0054517C"/>
    <w:rsid w:val="00545837"/>
    <w:rsid w:val="00553E8B"/>
    <w:rsid w:val="005576EA"/>
    <w:rsid w:val="005633D5"/>
    <w:rsid w:val="00566B42"/>
    <w:rsid w:val="0057165C"/>
    <w:rsid w:val="00571D95"/>
    <w:rsid w:val="005722C6"/>
    <w:rsid w:val="00580FF8"/>
    <w:rsid w:val="00585C8D"/>
    <w:rsid w:val="005862CC"/>
    <w:rsid w:val="005911FE"/>
    <w:rsid w:val="0059312F"/>
    <w:rsid w:val="00595758"/>
    <w:rsid w:val="00596081"/>
    <w:rsid w:val="005A3943"/>
    <w:rsid w:val="005A51E6"/>
    <w:rsid w:val="005A5A21"/>
    <w:rsid w:val="005A632E"/>
    <w:rsid w:val="005A74DC"/>
    <w:rsid w:val="005B7418"/>
    <w:rsid w:val="005C03A9"/>
    <w:rsid w:val="005C2BFC"/>
    <w:rsid w:val="005C324B"/>
    <w:rsid w:val="005C43E2"/>
    <w:rsid w:val="005C454A"/>
    <w:rsid w:val="005C5047"/>
    <w:rsid w:val="005C6DBB"/>
    <w:rsid w:val="005C74C9"/>
    <w:rsid w:val="005D1B14"/>
    <w:rsid w:val="005D257B"/>
    <w:rsid w:val="005D38AE"/>
    <w:rsid w:val="005E1D5C"/>
    <w:rsid w:val="005E25DC"/>
    <w:rsid w:val="005E52AE"/>
    <w:rsid w:val="005E5607"/>
    <w:rsid w:val="005E567C"/>
    <w:rsid w:val="005F22D4"/>
    <w:rsid w:val="005F505E"/>
    <w:rsid w:val="005F68E2"/>
    <w:rsid w:val="00602976"/>
    <w:rsid w:val="0060304D"/>
    <w:rsid w:val="0060388D"/>
    <w:rsid w:val="00604231"/>
    <w:rsid w:val="006067B5"/>
    <w:rsid w:val="006068F3"/>
    <w:rsid w:val="00610C2F"/>
    <w:rsid w:val="00613F4D"/>
    <w:rsid w:val="0062187C"/>
    <w:rsid w:val="006239BC"/>
    <w:rsid w:val="00625805"/>
    <w:rsid w:val="00627AC4"/>
    <w:rsid w:val="0063253B"/>
    <w:rsid w:val="006363C8"/>
    <w:rsid w:val="00637406"/>
    <w:rsid w:val="00637AB8"/>
    <w:rsid w:val="0064370D"/>
    <w:rsid w:val="00643771"/>
    <w:rsid w:val="00644709"/>
    <w:rsid w:val="00644946"/>
    <w:rsid w:val="00646AB8"/>
    <w:rsid w:val="00647BD9"/>
    <w:rsid w:val="00654A3E"/>
    <w:rsid w:val="00661B80"/>
    <w:rsid w:val="006624A7"/>
    <w:rsid w:val="0066515F"/>
    <w:rsid w:val="006668AF"/>
    <w:rsid w:val="0067278C"/>
    <w:rsid w:val="006729BD"/>
    <w:rsid w:val="00676DAA"/>
    <w:rsid w:val="006816B8"/>
    <w:rsid w:val="006852AE"/>
    <w:rsid w:val="00686439"/>
    <w:rsid w:val="00687B9D"/>
    <w:rsid w:val="0069797F"/>
    <w:rsid w:val="006A2FE0"/>
    <w:rsid w:val="006A4DE0"/>
    <w:rsid w:val="006A6051"/>
    <w:rsid w:val="006A6AD4"/>
    <w:rsid w:val="006B31D9"/>
    <w:rsid w:val="006B550E"/>
    <w:rsid w:val="006B6484"/>
    <w:rsid w:val="006C0102"/>
    <w:rsid w:val="006C07D4"/>
    <w:rsid w:val="006C31B5"/>
    <w:rsid w:val="006C41AD"/>
    <w:rsid w:val="006D04BD"/>
    <w:rsid w:val="006D36FD"/>
    <w:rsid w:val="006D3DCE"/>
    <w:rsid w:val="006D47EF"/>
    <w:rsid w:val="006D6644"/>
    <w:rsid w:val="006D7180"/>
    <w:rsid w:val="006E3B93"/>
    <w:rsid w:val="006E433B"/>
    <w:rsid w:val="006E4BE3"/>
    <w:rsid w:val="006E7899"/>
    <w:rsid w:val="006E7C78"/>
    <w:rsid w:val="006F03C1"/>
    <w:rsid w:val="006F27F4"/>
    <w:rsid w:val="006F2E23"/>
    <w:rsid w:val="006F7024"/>
    <w:rsid w:val="007001CF"/>
    <w:rsid w:val="00703A7C"/>
    <w:rsid w:val="007040AE"/>
    <w:rsid w:val="007076DA"/>
    <w:rsid w:val="00707860"/>
    <w:rsid w:val="0071176E"/>
    <w:rsid w:val="007207BF"/>
    <w:rsid w:val="00725CB0"/>
    <w:rsid w:val="00732A89"/>
    <w:rsid w:val="0073517D"/>
    <w:rsid w:val="00735A5E"/>
    <w:rsid w:val="0073685C"/>
    <w:rsid w:val="00737EA5"/>
    <w:rsid w:val="007400AE"/>
    <w:rsid w:val="007406D1"/>
    <w:rsid w:val="00741F3E"/>
    <w:rsid w:val="00743AA8"/>
    <w:rsid w:val="007469D6"/>
    <w:rsid w:val="00750840"/>
    <w:rsid w:val="00757617"/>
    <w:rsid w:val="00763AD8"/>
    <w:rsid w:val="00765016"/>
    <w:rsid w:val="0076624B"/>
    <w:rsid w:val="00767EDE"/>
    <w:rsid w:val="0077100C"/>
    <w:rsid w:val="00776C39"/>
    <w:rsid w:val="00781D00"/>
    <w:rsid w:val="00787682"/>
    <w:rsid w:val="007900F3"/>
    <w:rsid w:val="00791B69"/>
    <w:rsid w:val="0079498E"/>
    <w:rsid w:val="00796F10"/>
    <w:rsid w:val="007A025D"/>
    <w:rsid w:val="007A2435"/>
    <w:rsid w:val="007A6AB5"/>
    <w:rsid w:val="007B14D9"/>
    <w:rsid w:val="007B2B46"/>
    <w:rsid w:val="007B30F2"/>
    <w:rsid w:val="007B377F"/>
    <w:rsid w:val="007B4274"/>
    <w:rsid w:val="007B5117"/>
    <w:rsid w:val="007B599D"/>
    <w:rsid w:val="007B6650"/>
    <w:rsid w:val="007B6A74"/>
    <w:rsid w:val="007C2DC8"/>
    <w:rsid w:val="007D097E"/>
    <w:rsid w:val="007D230B"/>
    <w:rsid w:val="007D2D80"/>
    <w:rsid w:val="007D3681"/>
    <w:rsid w:val="007D3824"/>
    <w:rsid w:val="007D49A1"/>
    <w:rsid w:val="007D59DD"/>
    <w:rsid w:val="007D7024"/>
    <w:rsid w:val="007E1F66"/>
    <w:rsid w:val="007E2A3B"/>
    <w:rsid w:val="007E2CB5"/>
    <w:rsid w:val="007E2E07"/>
    <w:rsid w:val="007E3DEB"/>
    <w:rsid w:val="007E4C10"/>
    <w:rsid w:val="007E6501"/>
    <w:rsid w:val="007E6C25"/>
    <w:rsid w:val="007F32D7"/>
    <w:rsid w:val="007F4C19"/>
    <w:rsid w:val="007F669E"/>
    <w:rsid w:val="007F73E0"/>
    <w:rsid w:val="00801632"/>
    <w:rsid w:val="0080520B"/>
    <w:rsid w:val="00807B3E"/>
    <w:rsid w:val="00810D4A"/>
    <w:rsid w:val="00810FA9"/>
    <w:rsid w:val="00811C9F"/>
    <w:rsid w:val="00812F82"/>
    <w:rsid w:val="008146FD"/>
    <w:rsid w:val="00815976"/>
    <w:rsid w:val="00816AAB"/>
    <w:rsid w:val="00820402"/>
    <w:rsid w:val="008243B2"/>
    <w:rsid w:val="00824F08"/>
    <w:rsid w:val="00826DA9"/>
    <w:rsid w:val="008310DF"/>
    <w:rsid w:val="00831105"/>
    <w:rsid w:val="00835487"/>
    <w:rsid w:val="00836BD3"/>
    <w:rsid w:val="00844A4B"/>
    <w:rsid w:val="00850F61"/>
    <w:rsid w:val="00854676"/>
    <w:rsid w:val="00856EB8"/>
    <w:rsid w:val="00857B54"/>
    <w:rsid w:val="0086505E"/>
    <w:rsid w:val="00865296"/>
    <w:rsid w:val="00867086"/>
    <w:rsid w:val="00873D39"/>
    <w:rsid w:val="00874663"/>
    <w:rsid w:val="00881B95"/>
    <w:rsid w:val="008831CA"/>
    <w:rsid w:val="0088344F"/>
    <w:rsid w:val="00884BA8"/>
    <w:rsid w:val="0089272A"/>
    <w:rsid w:val="00894890"/>
    <w:rsid w:val="00897247"/>
    <w:rsid w:val="008A3ACC"/>
    <w:rsid w:val="008B08F0"/>
    <w:rsid w:val="008B262C"/>
    <w:rsid w:val="008B2DAD"/>
    <w:rsid w:val="008B5370"/>
    <w:rsid w:val="008B6FC8"/>
    <w:rsid w:val="008C19E9"/>
    <w:rsid w:val="008C26E9"/>
    <w:rsid w:val="008C3C3E"/>
    <w:rsid w:val="008C4E72"/>
    <w:rsid w:val="008C55AB"/>
    <w:rsid w:val="008C774E"/>
    <w:rsid w:val="008D4652"/>
    <w:rsid w:val="008D6D9D"/>
    <w:rsid w:val="008E1071"/>
    <w:rsid w:val="008F1691"/>
    <w:rsid w:val="008F22E2"/>
    <w:rsid w:val="008F5698"/>
    <w:rsid w:val="008F639E"/>
    <w:rsid w:val="00901EF2"/>
    <w:rsid w:val="00903EB6"/>
    <w:rsid w:val="00904906"/>
    <w:rsid w:val="0090702F"/>
    <w:rsid w:val="009079D0"/>
    <w:rsid w:val="00913D0A"/>
    <w:rsid w:val="00914694"/>
    <w:rsid w:val="009148A1"/>
    <w:rsid w:val="00915902"/>
    <w:rsid w:val="0092292E"/>
    <w:rsid w:val="00923BC2"/>
    <w:rsid w:val="00924972"/>
    <w:rsid w:val="00924CBA"/>
    <w:rsid w:val="00932E1E"/>
    <w:rsid w:val="00934068"/>
    <w:rsid w:val="00937854"/>
    <w:rsid w:val="00942753"/>
    <w:rsid w:val="009469E0"/>
    <w:rsid w:val="0095033D"/>
    <w:rsid w:val="00950D71"/>
    <w:rsid w:val="00951C4D"/>
    <w:rsid w:val="00952E03"/>
    <w:rsid w:val="0095396E"/>
    <w:rsid w:val="009547E2"/>
    <w:rsid w:val="00956488"/>
    <w:rsid w:val="00956F5F"/>
    <w:rsid w:val="009610DC"/>
    <w:rsid w:val="009617EC"/>
    <w:rsid w:val="0097154F"/>
    <w:rsid w:val="00974EC5"/>
    <w:rsid w:val="009824AE"/>
    <w:rsid w:val="00985996"/>
    <w:rsid w:val="00986978"/>
    <w:rsid w:val="00986CF9"/>
    <w:rsid w:val="00994F74"/>
    <w:rsid w:val="0099563A"/>
    <w:rsid w:val="009A13F4"/>
    <w:rsid w:val="009A44BE"/>
    <w:rsid w:val="009A6329"/>
    <w:rsid w:val="009B029F"/>
    <w:rsid w:val="009B0E9B"/>
    <w:rsid w:val="009B27F8"/>
    <w:rsid w:val="009B4A8B"/>
    <w:rsid w:val="009B74FB"/>
    <w:rsid w:val="009B7673"/>
    <w:rsid w:val="009C02CC"/>
    <w:rsid w:val="009C0660"/>
    <w:rsid w:val="009C20F2"/>
    <w:rsid w:val="009C31A4"/>
    <w:rsid w:val="009C4845"/>
    <w:rsid w:val="009C7314"/>
    <w:rsid w:val="009D2442"/>
    <w:rsid w:val="009D5D9F"/>
    <w:rsid w:val="009E0290"/>
    <w:rsid w:val="009E0FA2"/>
    <w:rsid w:val="009E2244"/>
    <w:rsid w:val="009F57FD"/>
    <w:rsid w:val="009F7F9F"/>
    <w:rsid w:val="00A01E02"/>
    <w:rsid w:val="00A02E26"/>
    <w:rsid w:val="00A05BA0"/>
    <w:rsid w:val="00A122D5"/>
    <w:rsid w:val="00A12C8F"/>
    <w:rsid w:val="00A159C9"/>
    <w:rsid w:val="00A167FB"/>
    <w:rsid w:val="00A21A25"/>
    <w:rsid w:val="00A21B70"/>
    <w:rsid w:val="00A21D02"/>
    <w:rsid w:val="00A21DDB"/>
    <w:rsid w:val="00A22131"/>
    <w:rsid w:val="00A23CF6"/>
    <w:rsid w:val="00A2690C"/>
    <w:rsid w:val="00A2792F"/>
    <w:rsid w:val="00A27E9D"/>
    <w:rsid w:val="00A30970"/>
    <w:rsid w:val="00A315E4"/>
    <w:rsid w:val="00A31D96"/>
    <w:rsid w:val="00A31FEE"/>
    <w:rsid w:val="00A33C55"/>
    <w:rsid w:val="00A34134"/>
    <w:rsid w:val="00A406C3"/>
    <w:rsid w:val="00A42875"/>
    <w:rsid w:val="00A448CB"/>
    <w:rsid w:val="00A44DC1"/>
    <w:rsid w:val="00A47A98"/>
    <w:rsid w:val="00A47EE7"/>
    <w:rsid w:val="00A50B43"/>
    <w:rsid w:val="00A51C87"/>
    <w:rsid w:val="00A54197"/>
    <w:rsid w:val="00A61821"/>
    <w:rsid w:val="00A61E3A"/>
    <w:rsid w:val="00A631BA"/>
    <w:rsid w:val="00A66484"/>
    <w:rsid w:val="00A67CA5"/>
    <w:rsid w:val="00A72686"/>
    <w:rsid w:val="00A75CCD"/>
    <w:rsid w:val="00A77D6F"/>
    <w:rsid w:val="00A80506"/>
    <w:rsid w:val="00A806AE"/>
    <w:rsid w:val="00A8118F"/>
    <w:rsid w:val="00A83458"/>
    <w:rsid w:val="00A8489D"/>
    <w:rsid w:val="00A86C41"/>
    <w:rsid w:val="00A9003D"/>
    <w:rsid w:val="00A90148"/>
    <w:rsid w:val="00A917F8"/>
    <w:rsid w:val="00AA0D8C"/>
    <w:rsid w:val="00AA25BC"/>
    <w:rsid w:val="00AA3077"/>
    <w:rsid w:val="00AA3E2A"/>
    <w:rsid w:val="00AA46AF"/>
    <w:rsid w:val="00AA5501"/>
    <w:rsid w:val="00AA5AE7"/>
    <w:rsid w:val="00AB4E9E"/>
    <w:rsid w:val="00AB6C99"/>
    <w:rsid w:val="00AC11D5"/>
    <w:rsid w:val="00AC15E5"/>
    <w:rsid w:val="00AC22BB"/>
    <w:rsid w:val="00AC4080"/>
    <w:rsid w:val="00AC558C"/>
    <w:rsid w:val="00AC5A6D"/>
    <w:rsid w:val="00AC5D73"/>
    <w:rsid w:val="00AC73AD"/>
    <w:rsid w:val="00AC7BED"/>
    <w:rsid w:val="00AD067D"/>
    <w:rsid w:val="00AD6676"/>
    <w:rsid w:val="00AD705A"/>
    <w:rsid w:val="00AD78F9"/>
    <w:rsid w:val="00AE008D"/>
    <w:rsid w:val="00AE30E0"/>
    <w:rsid w:val="00AE346F"/>
    <w:rsid w:val="00AE3AD5"/>
    <w:rsid w:val="00AF2329"/>
    <w:rsid w:val="00AF3660"/>
    <w:rsid w:val="00AF5DE2"/>
    <w:rsid w:val="00AF76C2"/>
    <w:rsid w:val="00AF7A20"/>
    <w:rsid w:val="00B0084D"/>
    <w:rsid w:val="00B01312"/>
    <w:rsid w:val="00B02D98"/>
    <w:rsid w:val="00B11CF4"/>
    <w:rsid w:val="00B1322A"/>
    <w:rsid w:val="00B15D2F"/>
    <w:rsid w:val="00B16399"/>
    <w:rsid w:val="00B1760F"/>
    <w:rsid w:val="00B2586D"/>
    <w:rsid w:val="00B25AE4"/>
    <w:rsid w:val="00B265C9"/>
    <w:rsid w:val="00B26909"/>
    <w:rsid w:val="00B27664"/>
    <w:rsid w:val="00B31169"/>
    <w:rsid w:val="00B31828"/>
    <w:rsid w:val="00B33AA3"/>
    <w:rsid w:val="00B42BEE"/>
    <w:rsid w:val="00B452B7"/>
    <w:rsid w:val="00B458E3"/>
    <w:rsid w:val="00B46795"/>
    <w:rsid w:val="00B5180D"/>
    <w:rsid w:val="00B518FF"/>
    <w:rsid w:val="00B537BB"/>
    <w:rsid w:val="00B54F17"/>
    <w:rsid w:val="00B561EE"/>
    <w:rsid w:val="00B57D47"/>
    <w:rsid w:val="00B6210E"/>
    <w:rsid w:val="00B632E3"/>
    <w:rsid w:val="00B64BCC"/>
    <w:rsid w:val="00B64DC8"/>
    <w:rsid w:val="00B70688"/>
    <w:rsid w:val="00B75FD9"/>
    <w:rsid w:val="00B77091"/>
    <w:rsid w:val="00B779B0"/>
    <w:rsid w:val="00B837C1"/>
    <w:rsid w:val="00B841E0"/>
    <w:rsid w:val="00B860BA"/>
    <w:rsid w:val="00B865F5"/>
    <w:rsid w:val="00B870A0"/>
    <w:rsid w:val="00B90D6B"/>
    <w:rsid w:val="00B91DFE"/>
    <w:rsid w:val="00B95791"/>
    <w:rsid w:val="00B9630B"/>
    <w:rsid w:val="00B966E9"/>
    <w:rsid w:val="00B96BC7"/>
    <w:rsid w:val="00B97229"/>
    <w:rsid w:val="00BA08A3"/>
    <w:rsid w:val="00BA3D7D"/>
    <w:rsid w:val="00BA5AB3"/>
    <w:rsid w:val="00BB0CDD"/>
    <w:rsid w:val="00BB227E"/>
    <w:rsid w:val="00BB4F22"/>
    <w:rsid w:val="00BB7E3D"/>
    <w:rsid w:val="00BC3CD1"/>
    <w:rsid w:val="00BC5EC6"/>
    <w:rsid w:val="00BC5F0E"/>
    <w:rsid w:val="00BD1673"/>
    <w:rsid w:val="00BD2211"/>
    <w:rsid w:val="00BD221D"/>
    <w:rsid w:val="00BD3E65"/>
    <w:rsid w:val="00BD5934"/>
    <w:rsid w:val="00BD7785"/>
    <w:rsid w:val="00BE30F2"/>
    <w:rsid w:val="00BE3B2E"/>
    <w:rsid w:val="00BE7DE8"/>
    <w:rsid w:val="00BF1CBD"/>
    <w:rsid w:val="00BF44A2"/>
    <w:rsid w:val="00BF52C4"/>
    <w:rsid w:val="00C006BE"/>
    <w:rsid w:val="00C05B8E"/>
    <w:rsid w:val="00C1063D"/>
    <w:rsid w:val="00C14827"/>
    <w:rsid w:val="00C15E0E"/>
    <w:rsid w:val="00C23FB5"/>
    <w:rsid w:val="00C24A1A"/>
    <w:rsid w:val="00C31CB8"/>
    <w:rsid w:val="00C331BB"/>
    <w:rsid w:val="00C37887"/>
    <w:rsid w:val="00C37ADF"/>
    <w:rsid w:val="00C413EB"/>
    <w:rsid w:val="00C41A08"/>
    <w:rsid w:val="00C422B9"/>
    <w:rsid w:val="00C4240A"/>
    <w:rsid w:val="00C4241E"/>
    <w:rsid w:val="00C4400A"/>
    <w:rsid w:val="00C50011"/>
    <w:rsid w:val="00C50EFE"/>
    <w:rsid w:val="00C558E3"/>
    <w:rsid w:val="00C615A3"/>
    <w:rsid w:val="00C6198D"/>
    <w:rsid w:val="00C635DA"/>
    <w:rsid w:val="00C639E7"/>
    <w:rsid w:val="00C659BE"/>
    <w:rsid w:val="00C700BC"/>
    <w:rsid w:val="00C80300"/>
    <w:rsid w:val="00C82307"/>
    <w:rsid w:val="00C8613B"/>
    <w:rsid w:val="00C900DE"/>
    <w:rsid w:val="00C92622"/>
    <w:rsid w:val="00C97228"/>
    <w:rsid w:val="00C9780D"/>
    <w:rsid w:val="00CA02DA"/>
    <w:rsid w:val="00CA1A54"/>
    <w:rsid w:val="00CA2651"/>
    <w:rsid w:val="00CB2B6E"/>
    <w:rsid w:val="00CC46B2"/>
    <w:rsid w:val="00CC5718"/>
    <w:rsid w:val="00CD01C6"/>
    <w:rsid w:val="00CD1352"/>
    <w:rsid w:val="00CD1CBE"/>
    <w:rsid w:val="00CD1E3E"/>
    <w:rsid w:val="00CD32E2"/>
    <w:rsid w:val="00CD4B0B"/>
    <w:rsid w:val="00CD4BBB"/>
    <w:rsid w:val="00CD6698"/>
    <w:rsid w:val="00CD72AC"/>
    <w:rsid w:val="00CE1CA9"/>
    <w:rsid w:val="00CE1E5B"/>
    <w:rsid w:val="00CF1D92"/>
    <w:rsid w:val="00CF2D92"/>
    <w:rsid w:val="00CF5889"/>
    <w:rsid w:val="00CF5D91"/>
    <w:rsid w:val="00D0025C"/>
    <w:rsid w:val="00D004FB"/>
    <w:rsid w:val="00D005CF"/>
    <w:rsid w:val="00D02BBC"/>
    <w:rsid w:val="00D02C36"/>
    <w:rsid w:val="00D04D73"/>
    <w:rsid w:val="00D11BF4"/>
    <w:rsid w:val="00D12172"/>
    <w:rsid w:val="00D12B8C"/>
    <w:rsid w:val="00D14F25"/>
    <w:rsid w:val="00D15A49"/>
    <w:rsid w:val="00D16CB6"/>
    <w:rsid w:val="00D200F6"/>
    <w:rsid w:val="00D21646"/>
    <w:rsid w:val="00D30253"/>
    <w:rsid w:val="00D36A3A"/>
    <w:rsid w:val="00D454F2"/>
    <w:rsid w:val="00D47CE9"/>
    <w:rsid w:val="00D50DAB"/>
    <w:rsid w:val="00D52995"/>
    <w:rsid w:val="00D55049"/>
    <w:rsid w:val="00D60118"/>
    <w:rsid w:val="00D64D0C"/>
    <w:rsid w:val="00D72ADE"/>
    <w:rsid w:val="00D72ADF"/>
    <w:rsid w:val="00D75233"/>
    <w:rsid w:val="00D7728F"/>
    <w:rsid w:val="00D77696"/>
    <w:rsid w:val="00D80A62"/>
    <w:rsid w:val="00D81CC4"/>
    <w:rsid w:val="00D84EB0"/>
    <w:rsid w:val="00D9765E"/>
    <w:rsid w:val="00DA06B9"/>
    <w:rsid w:val="00DA14B0"/>
    <w:rsid w:val="00DA3273"/>
    <w:rsid w:val="00DA4591"/>
    <w:rsid w:val="00DA6430"/>
    <w:rsid w:val="00DA681A"/>
    <w:rsid w:val="00DB3A37"/>
    <w:rsid w:val="00DB63DB"/>
    <w:rsid w:val="00DB7824"/>
    <w:rsid w:val="00DC2E2F"/>
    <w:rsid w:val="00DC308E"/>
    <w:rsid w:val="00DC47FB"/>
    <w:rsid w:val="00DC6C76"/>
    <w:rsid w:val="00DC7F73"/>
    <w:rsid w:val="00DD6530"/>
    <w:rsid w:val="00DE191A"/>
    <w:rsid w:val="00DE1A0F"/>
    <w:rsid w:val="00DE3123"/>
    <w:rsid w:val="00DE339F"/>
    <w:rsid w:val="00DF1535"/>
    <w:rsid w:val="00DF53F5"/>
    <w:rsid w:val="00DF61FD"/>
    <w:rsid w:val="00DF6D25"/>
    <w:rsid w:val="00DF72D2"/>
    <w:rsid w:val="00E03C6D"/>
    <w:rsid w:val="00E11CF8"/>
    <w:rsid w:val="00E11EE3"/>
    <w:rsid w:val="00E125D9"/>
    <w:rsid w:val="00E1294B"/>
    <w:rsid w:val="00E135F9"/>
    <w:rsid w:val="00E14349"/>
    <w:rsid w:val="00E20C28"/>
    <w:rsid w:val="00E22A77"/>
    <w:rsid w:val="00E22E84"/>
    <w:rsid w:val="00E24B18"/>
    <w:rsid w:val="00E265D6"/>
    <w:rsid w:val="00E27DCF"/>
    <w:rsid w:val="00E3016C"/>
    <w:rsid w:val="00E3120C"/>
    <w:rsid w:val="00E348BC"/>
    <w:rsid w:val="00E4307D"/>
    <w:rsid w:val="00E4318F"/>
    <w:rsid w:val="00E4392E"/>
    <w:rsid w:val="00E44C18"/>
    <w:rsid w:val="00E46079"/>
    <w:rsid w:val="00E54395"/>
    <w:rsid w:val="00E54741"/>
    <w:rsid w:val="00E568E5"/>
    <w:rsid w:val="00E57AAD"/>
    <w:rsid w:val="00E57B41"/>
    <w:rsid w:val="00E6453F"/>
    <w:rsid w:val="00E659EF"/>
    <w:rsid w:val="00E667E2"/>
    <w:rsid w:val="00E70CBD"/>
    <w:rsid w:val="00E717E8"/>
    <w:rsid w:val="00E72BAF"/>
    <w:rsid w:val="00E73D81"/>
    <w:rsid w:val="00E754F4"/>
    <w:rsid w:val="00E86C4E"/>
    <w:rsid w:val="00E92832"/>
    <w:rsid w:val="00E937B4"/>
    <w:rsid w:val="00EA057C"/>
    <w:rsid w:val="00EA2D3D"/>
    <w:rsid w:val="00EA5B84"/>
    <w:rsid w:val="00EB20F9"/>
    <w:rsid w:val="00EB24EB"/>
    <w:rsid w:val="00EB34AF"/>
    <w:rsid w:val="00EC2B9B"/>
    <w:rsid w:val="00ED06CC"/>
    <w:rsid w:val="00ED2C8E"/>
    <w:rsid w:val="00ED379E"/>
    <w:rsid w:val="00ED4F4B"/>
    <w:rsid w:val="00ED7680"/>
    <w:rsid w:val="00EE0424"/>
    <w:rsid w:val="00EE0D47"/>
    <w:rsid w:val="00EE5358"/>
    <w:rsid w:val="00EF54D8"/>
    <w:rsid w:val="00EF71E9"/>
    <w:rsid w:val="00F006D2"/>
    <w:rsid w:val="00F00BD1"/>
    <w:rsid w:val="00F01FD9"/>
    <w:rsid w:val="00F04B07"/>
    <w:rsid w:val="00F05BA8"/>
    <w:rsid w:val="00F07447"/>
    <w:rsid w:val="00F16F13"/>
    <w:rsid w:val="00F23E9A"/>
    <w:rsid w:val="00F242D9"/>
    <w:rsid w:val="00F3715D"/>
    <w:rsid w:val="00F37710"/>
    <w:rsid w:val="00F44B62"/>
    <w:rsid w:val="00F46E6C"/>
    <w:rsid w:val="00F5072C"/>
    <w:rsid w:val="00F51CBF"/>
    <w:rsid w:val="00F526D5"/>
    <w:rsid w:val="00F5411D"/>
    <w:rsid w:val="00F56D2B"/>
    <w:rsid w:val="00F57D2D"/>
    <w:rsid w:val="00F606D8"/>
    <w:rsid w:val="00F621EE"/>
    <w:rsid w:val="00F62A49"/>
    <w:rsid w:val="00F64F0D"/>
    <w:rsid w:val="00F7026A"/>
    <w:rsid w:val="00F71826"/>
    <w:rsid w:val="00F72B45"/>
    <w:rsid w:val="00F73B00"/>
    <w:rsid w:val="00F761B9"/>
    <w:rsid w:val="00F84737"/>
    <w:rsid w:val="00F87B69"/>
    <w:rsid w:val="00F90C95"/>
    <w:rsid w:val="00F9103E"/>
    <w:rsid w:val="00F95923"/>
    <w:rsid w:val="00F96A39"/>
    <w:rsid w:val="00F96DB3"/>
    <w:rsid w:val="00F97463"/>
    <w:rsid w:val="00FA1477"/>
    <w:rsid w:val="00FA2DB5"/>
    <w:rsid w:val="00FA3283"/>
    <w:rsid w:val="00FA4DC6"/>
    <w:rsid w:val="00FA5D99"/>
    <w:rsid w:val="00FB030E"/>
    <w:rsid w:val="00FB571F"/>
    <w:rsid w:val="00FB6049"/>
    <w:rsid w:val="00FC383A"/>
    <w:rsid w:val="00FC42BA"/>
    <w:rsid w:val="00FC6166"/>
    <w:rsid w:val="00FD08C1"/>
    <w:rsid w:val="00FD2C54"/>
    <w:rsid w:val="00FD7A7A"/>
    <w:rsid w:val="00FE10C1"/>
    <w:rsid w:val="00FE190E"/>
    <w:rsid w:val="00FE20A9"/>
    <w:rsid w:val="00FE48A9"/>
    <w:rsid w:val="00FF0162"/>
    <w:rsid w:val="00FF08B7"/>
    <w:rsid w:val="00FF12B8"/>
    <w:rsid w:val="00FF521D"/>
    <w:rsid w:val="00FF76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DB1DDC8"/>
  <w14:defaultImageDpi w14:val="300"/>
  <w15:docId w15:val="{2457FC07-0FEE-49DF-BF5E-EF1AA9A5F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856EB8"/>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styleId="PlainTable4">
    <w:name w:val="Plain Table 4"/>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rsid w:val="0008108C"/>
    <w:pPr>
      <w:ind w:left="720"/>
      <w:contextualSpacing/>
    </w:pPr>
  </w:style>
  <w:style w:type="paragraph" w:styleId="Caption">
    <w:name w:val="caption"/>
    <w:aliases w:val="eTRM Caption"/>
    <w:basedOn w:val="Normal"/>
    <w:next w:val="Normal"/>
    <w:link w:val="CaptionChar"/>
    <w:autoRedefine/>
    <w:unhideWhenUsed/>
    <w:qFormat/>
    <w:rsid w:val="006B6484"/>
    <w:pPr>
      <w:keepNext/>
      <w:keepLines/>
      <w:spacing w:before="280" w:after="80"/>
    </w:pPr>
    <w:rPr>
      <w:rFonts w:cs="Arial"/>
      <w:b/>
      <w:color w:val="000000"/>
      <w:sz w:val="20"/>
      <w:szCs w:val="22"/>
      <w14:textFill>
        <w14:solidFill>
          <w14:srgbClr w14:val="000000">
            <w14:lumMod w14:val="50000"/>
          </w14:srgbClr>
        </w14:solidFill>
      </w14:textFill>
    </w:rPr>
  </w:style>
  <w:style w:type="character" w:customStyle="1" w:styleId="CaptionChar">
    <w:name w:val="Caption Char"/>
    <w:aliases w:val="eTRM Caption Char"/>
    <w:link w:val="Caption"/>
    <w:locked/>
    <w:rsid w:val="006B6484"/>
    <w:rPr>
      <w:rFonts w:ascii="Calibri Light" w:hAnsi="Calibri Light" w:cs="Arial"/>
      <w:b/>
      <w:color w:val="000000"/>
      <w:sz w:val="20"/>
      <w:szCs w:val="22"/>
      <w14:textFill>
        <w14:solidFill>
          <w14:srgbClr w14:val="000000">
            <w14:lumMod w14:val="50000"/>
          </w14:srgbClr>
        </w14:solidFill>
      </w14:textFill>
    </w:rPr>
  </w:style>
  <w:style w:type="table" w:styleId="PlainTable2">
    <w:name w:val="Plain Table 2"/>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basedOn w:val="Normal"/>
    <w:link w:val="FootnoteTextChar"/>
    <w:uiPriority w:val="99"/>
    <w:unhideWhenUsed/>
    <w:qFormat/>
    <w:rsid w:val="005E25DC"/>
    <w:rPr>
      <w:sz w:val="18"/>
    </w:rPr>
  </w:style>
  <w:style w:type="character" w:customStyle="1" w:styleId="FootnoteTextChar">
    <w:name w:val="Footnote Text Char"/>
    <w:basedOn w:val="DefaultParagraphFont"/>
    <w:link w:val="FootnoteText"/>
    <w:uiPriority w:val="99"/>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cs="Arial"/>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50633F"/>
    <w:pPr>
      <w:ind w:left="720"/>
    </w:pPr>
    <w:rPr>
      <w:rFonts w:ascii="Cambria Math" w:hAnsi="Cambria Math" w:cs="Calibri"/>
      <w:bCs/>
      <w:i/>
      <w:sz w:val="18"/>
      <w:szCs w:val="18"/>
    </w:rPr>
  </w:style>
  <w:style w:type="character" w:customStyle="1" w:styleId="BodyTextChar">
    <w:name w:val="Body Text Char"/>
    <w:basedOn w:val="DefaultParagraphFont"/>
    <w:link w:val="BodyText"/>
    <w:uiPriority w:val="99"/>
    <w:rsid w:val="0050633F"/>
    <w:rPr>
      <w:rFonts w:ascii="Cambria Math" w:hAnsi="Cambria Math" w:cs="Calibri"/>
      <w:bCs/>
      <w:i/>
      <w:sz w:val="18"/>
      <w:szCs w:val="18"/>
    </w:rPr>
  </w:style>
  <w:style w:type="paragraph" w:customStyle="1" w:styleId="eTRMBulletedText">
    <w:name w:val="eTRM Bulleted Text"/>
    <w:basedOn w:val="Normal"/>
    <w:autoRedefine/>
    <w:qFormat/>
    <w:rsid w:val="00487071"/>
    <w:pPr>
      <w:numPr>
        <w:numId w:val="20"/>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uiPriority w:val="99"/>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09451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semiHidden/>
    <w:rsid w:val="0009451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GridTable1Light">
    <w:name w:val="Grid Table 1 Light"/>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112334"/>
    <w:pPr>
      <w:keepNext/>
      <w:keepLines/>
      <w:spacing w:line="360" w:lineRule="exact"/>
      <w:jc w:val="center"/>
      <w:outlineLvl w:val="1"/>
    </w:pPr>
    <w:rPr>
      <w:rFonts w:eastAsiaTheme="majorEastAsia" w:cstheme="majorBidi"/>
      <w:caps/>
      <w:color w:val="FFFFFF" w:themeColor="background1"/>
      <w:spacing w:val="80"/>
      <w:sz w:val="32"/>
      <w:szCs w:val="26"/>
    </w:rPr>
  </w:style>
  <w:style w:type="character" w:customStyle="1" w:styleId="eTRMHeading2Char">
    <w:name w:val="eTRM Heading 2 Char"/>
    <w:basedOn w:val="DefaultParagraphFont"/>
    <w:link w:val="eTRMHeading2"/>
    <w:rsid w:val="00112334"/>
    <w:rPr>
      <w:rFonts w:ascii="Calibri Light" w:eastAsiaTheme="majorEastAsia" w:hAnsi="Calibri Light" w:cstheme="majorBidi"/>
      <w:caps/>
      <w:color w:val="FFFFFF" w:themeColor="background1"/>
      <w:spacing w:val="80"/>
      <w:sz w:val="32"/>
      <w:szCs w:val="26"/>
    </w:rPr>
  </w:style>
  <w:style w:type="paragraph" w:customStyle="1" w:styleId="eTRMHeading3">
    <w:name w:val="eTRM Heading 3"/>
    <w:basedOn w:val="Heading3"/>
    <w:link w:val="eTRMHeading3Char"/>
    <w:autoRedefine/>
    <w:qFormat/>
    <w:rsid w:val="004D29B2"/>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4D29B2"/>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B46795"/>
    <w:pPr>
      <w:spacing w:before="20" w:after="20"/>
      <w:ind w:left="1350"/>
    </w:pPr>
  </w:style>
  <w:style w:type="character" w:customStyle="1" w:styleId="eTRMFootnoteTextChar">
    <w:name w:val="eTRM Footnote Text Char"/>
    <w:basedOn w:val="FootnoteTextChar"/>
    <w:link w:val="eTRMFootnoteText"/>
    <w:rsid w:val="00B46795"/>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8"/>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semiHidden/>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15283">
      <w:bodyDiv w:val="1"/>
      <w:marLeft w:val="0"/>
      <w:marRight w:val="0"/>
      <w:marTop w:val="0"/>
      <w:marBottom w:val="0"/>
      <w:divBdr>
        <w:top w:val="none" w:sz="0" w:space="0" w:color="auto"/>
        <w:left w:val="none" w:sz="0" w:space="0" w:color="auto"/>
        <w:bottom w:val="none" w:sz="0" w:space="0" w:color="auto"/>
        <w:right w:val="none" w:sz="0" w:space="0" w:color="auto"/>
      </w:divBdr>
    </w:div>
    <w:div w:id="348410664">
      <w:bodyDiv w:val="1"/>
      <w:marLeft w:val="0"/>
      <w:marRight w:val="0"/>
      <w:marTop w:val="0"/>
      <w:marBottom w:val="0"/>
      <w:divBdr>
        <w:top w:val="none" w:sz="0" w:space="0" w:color="auto"/>
        <w:left w:val="none" w:sz="0" w:space="0" w:color="auto"/>
        <w:bottom w:val="none" w:sz="0" w:space="0" w:color="auto"/>
        <w:right w:val="none" w:sz="0" w:space="0" w:color="auto"/>
      </w:divBdr>
    </w:div>
    <w:div w:id="445198282">
      <w:bodyDiv w:val="1"/>
      <w:marLeft w:val="0"/>
      <w:marRight w:val="0"/>
      <w:marTop w:val="0"/>
      <w:marBottom w:val="0"/>
      <w:divBdr>
        <w:top w:val="none" w:sz="0" w:space="0" w:color="auto"/>
        <w:left w:val="none" w:sz="0" w:space="0" w:color="auto"/>
        <w:bottom w:val="none" w:sz="0" w:space="0" w:color="auto"/>
        <w:right w:val="none" w:sz="0" w:space="0" w:color="auto"/>
      </w:divBdr>
    </w:div>
    <w:div w:id="739715962">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199507681">
      <w:bodyDiv w:val="1"/>
      <w:marLeft w:val="0"/>
      <w:marRight w:val="0"/>
      <w:marTop w:val="0"/>
      <w:marBottom w:val="0"/>
      <w:divBdr>
        <w:top w:val="none" w:sz="0" w:space="0" w:color="auto"/>
        <w:left w:val="none" w:sz="0" w:space="0" w:color="auto"/>
        <w:bottom w:val="none" w:sz="0" w:space="0" w:color="auto"/>
        <w:right w:val="none" w:sz="0" w:space="0" w:color="auto"/>
      </w:divBdr>
    </w:div>
    <w:div w:id="1398701559">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950165102">
      <w:bodyDiv w:val="1"/>
      <w:marLeft w:val="0"/>
      <w:marRight w:val="0"/>
      <w:marTop w:val="0"/>
      <w:marBottom w:val="0"/>
      <w:divBdr>
        <w:top w:val="none" w:sz="0" w:space="0" w:color="auto"/>
        <w:left w:val="none" w:sz="0" w:space="0" w:color="auto"/>
        <w:bottom w:val="none" w:sz="0" w:space="0" w:color="auto"/>
        <w:right w:val="none" w:sz="0" w:space="0" w:color="auto"/>
      </w:divBdr>
    </w:div>
    <w:div w:id="19607945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est_x0020_notes xmlns="870e7c11-ae1f-4d3d-a559-665563d266b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8DED26DBB77D14CBDD35401EA8BA69A" ma:contentTypeVersion="15" ma:contentTypeDescription="Create a new document." ma:contentTypeScope="" ma:versionID="0976f97a3b29f74753bbbefbc87baca2">
  <xsd:schema xmlns:xsd="http://www.w3.org/2001/XMLSchema" xmlns:xs="http://www.w3.org/2001/XMLSchema" xmlns:p="http://schemas.microsoft.com/office/2006/metadata/properties" xmlns:ns2="da71d01b-0173-42d4-bd9e-03574c50f54f" xmlns:ns3="870e7c11-ae1f-4d3d-a559-665563d266b8" targetNamespace="http://schemas.microsoft.com/office/2006/metadata/properties" ma:root="true" ma:fieldsID="3b655e9e4ca696ca463b952144b84b73" ns2:_="" ns3:_="">
    <xsd:import namespace="da71d01b-0173-42d4-bd9e-03574c50f54f"/>
    <xsd:import namespace="870e7c11-ae1f-4d3d-a559-665563d266b8"/>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Test_x0020_note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71d01b-0173-42d4-bd9e-03574c50f54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70e7c11-ae1f-4d3d-a559-665563d266b8"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Location" ma:index="16"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Test_x0020_notes" ma:index="20" nillable="true" ma:displayName="Test notes" ma:internalName="Test_x0020_notes">
      <xsd:simpleType>
        <xsd:restriction base="dms:Note">
          <xsd:maxLength value="255"/>
        </xsd:restrictio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DD7CA-C8E4-40C5-A634-A8AF0335E414}">
  <ds:schemaRefs>
    <ds:schemaRef ds:uri="http://schemas.microsoft.com/office/2006/metadata/properties"/>
    <ds:schemaRef ds:uri="http://schemas.microsoft.com/office/infopath/2007/PartnerControls"/>
    <ds:schemaRef ds:uri="870e7c11-ae1f-4d3d-a559-665563d266b8"/>
  </ds:schemaRefs>
</ds:datastoreItem>
</file>

<file path=customXml/itemProps2.xml><?xml version="1.0" encoding="utf-8"?>
<ds:datastoreItem xmlns:ds="http://schemas.openxmlformats.org/officeDocument/2006/customXml" ds:itemID="{75B8511A-CE10-4C85-928A-FE6D2CC5C9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71d01b-0173-42d4-bd9e-03574c50f54f"/>
    <ds:schemaRef ds:uri="870e7c11-ae1f-4d3d-a559-665563d266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F73052-0FC6-44C4-8148-7D82CD540A68}">
  <ds:schemaRefs>
    <ds:schemaRef ds:uri="http://schemas.microsoft.com/sharepoint/v3/contenttype/forms"/>
  </ds:schemaRefs>
</ds:datastoreItem>
</file>

<file path=customXml/itemProps4.xml><?xml version="1.0" encoding="utf-8"?>
<ds:datastoreItem xmlns:ds="http://schemas.openxmlformats.org/officeDocument/2006/customXml" ds:itemID="{7B6E71EA-1715-4DD9-9398-40A174685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3</TotalTime>
  <Pages>13</Pages>
  <Words>3455</Words>
  <Characters>19698</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eTRM Measure Documentation</vt:lpstr>
    </vt:vector>
  </TitlesOfParts>
  <Manager/>
  <Company/>
  <LinksUpToDate>false</LinksUpToDate>
  <CharactersWithSpaces>23107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subject/>
  <dc:creator>Jennifer Holmes</dc:creator>
  <cp:keywords/>
  <dc:description/>
  <cp:lastModifiedBy>Casco, Lake</cp:lastModifiedBy>
  <cp:revision>3</cp:revision>
  <cp:lastPrinted>2017-06-29T20:58:00Z</cp:lastPrinted>
  <dcterms:created xsi:type="dcterms:W3CDTF">2021-11-15T18:41:00Z</dcterms:created>
  <dcterms:modified xsi:type="dcterms:W3CDTF">2021-12-22T19:36:00Z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0x01010028DED26DBB77D14CBDD35401EA8BA69A</vt:lpwstr>
  </property>
</Properties>
</file>